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ED7" w:rsidRDefault="00F34ED7" w:rsidP="00F34ED7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:rsidR="00F34ED7" w:rsidRDefault="00F34ED7" w:rsidP="00F34ED7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 xml:space="preserve">zo zasadnutia komisie pre rozpočet, financie, správu a hospodárenie s majetkom mesta,  konanom dňa </w:t>
      </w:r>
      <w:r w:rsidR="0027216D">
        <w:rPr>
          <w:b/>
        </w:rPr>
        <w:t>30.októbra</w:t>
      </w:r>
      <w:r>
        <w:rPr>
          <w:b/>
        </w:rPr>
        <w:t xml:space="preserve"> 2019</w:t>
      </w:r>
    </w:p>
    <w:p w:rsidR="00F34ED7" w:rsidRDefault="00F34ED7" w:rsidP="00F34ED7">
      <w:pPr>
        <w:tabs>
          <w:tab w:val="left" w:pos="6237"/>
        </w:tabs>
        <w:jc w:val="both"/>
        <w:rPr>
          <w:b/>
        </w:rPr>
      </w:pPr>
    </w:p>
    <w:p w:rsidR="00F34ED7" w:rsidRPr="001352F4" w:rsidRDefault="00F34ED7" w:rsidP="00F34ED7">
      <w:pPr>
        <w:tabs>
          <w:tab w:val="left" w:pos="6237"/>
        </w:tabs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  </w:t>
      </w:r>
      <w:r w:rsidRPr="001352F4">
        <w:t>Ing. Štefan Uhliarik, predseda komisie</w:t>
      </w:r>
    </w:p>
    <w:p w:rsidR="00F34ED7" w:rsidRPr="001352F4" w:rsidRDefault="00F34ED7" w:rsidP="00F34ED7">
      <w:pPr>
        <w:tabs>
          <w:tab w:val="left" w:pos="6237"/>
        </w:tabs>
        <w:jc w:val="both"/>
        <w:outlineLvl w:val="0"/>
      </w:pPr>
      <w:r w:rsidRPr="001352F4">
        <w:t xml:space="preserve">                          Ing. Peter Kolada, člen komisie</w:t>
      </w:r>
    </w:p>
    <w:p w:rsidR="00F34ED7" w:rsidRPr="001352F4" w:rsidRDefault="00F34ED7" w:rsidP="00F34ED7">
      <w:pPr>
        <w:tabs>
          <w:tab w:val="left" w:pos="6237"/>
        </w:tabs>
        <w:jc w:val="both"/>
      </w:pPr>
      <w:r w:rsidRPr="001352F4">
        <w:t xml:space="preserve">                          Ing. Juraj Kurtulík, člen komisie</w:t>
      </w:r>
    </w:p>
    <w:p w:rsidR="00F34ED7" w:rsidRPr="001352F4" w:rsidRDefault="00F34ED7" w:rsidP="00F34ED7">
      <w:pPr>
        <w:tabs>
          <w:tab w:val="left" w:pos="6237"/>
        </w:tabs>
        <w:jc w:val="both"/>
      </w:pPr>
      <w:r w:rsidRPr="001352F4">
        <w:t xml:space="preserve">                          Ing. Martin </w:t>
      </w:r>
      <w:proofErr w:type="spellStart"/>
      <w:r w:rsidRPr="001352F4">
        <w:t>Paholek</w:t>
      </w:r>
      <w:proofErr w:type="spellEnd"/>
      <w:r w:rsidRPr="001352F4">
        <w:t xml:space="preserve">, člen komisie </w:t>
      </w:r>
    </w:p>
    <w:p w:rsidR="00F34ED7" w:rsidRPr="001352F4" w:rsidRDefault="00F34ED7" w:rsidP="00F34ED7">
      <w:pPr>
        <w:tabs>
          <w:tab w:val="left" w:pos="6237"/>
        </w:tabs>
        <w:jc w:val="both"/>
      </w:pPr>
      <w:r w:rsidRPr="001352F4">
        <w:t xml:space="preserve">                          </w:t>
      </w:r>
      <w:r w:rsidR="00B8782A">
        <w:t xml:space="preserve">Bc. Matej </w:t>
      </w:r>
      <w:proofErr w:type="spellStart"/>
      <w:r w:rsidR="00B8782A">
        <w:t>Janotík</w:t>
      </w:r>
      <w:proofErr w:type="spellEnd"/>
      <w:r w:rsidR="00B8782A">
        <w:t>, člen komisie</w:t>
      </w:r>
    </w:p>
    <w:p w:rsidR="00F34ED7" w:rsidRPr="001352F4" w:rsidRDefault="00F34ED7" w:rsidP="00F34ED7">
      <w:pPr>
        <w:tabs>
          <w:tab w:val="left" w:pos="6237"/>
        </w:tabs>
        <w:jc w:val="both"/>
      </w:pPr>
      <w:r w:rsidRPr="001352F4">
        <w:t xml:space="preserve">                          Mgr. Slavomír Špitál, člen komisie</w:t>
      </w:r>
    </w:p>
    <w:p w:rsidR="00F34ED7" w:rsidRDefault="00F34ED7" w:rsidP="00F34ED7">
      <w:pPr>
        <w:tabs>
          <w:tab w:val="left" w:pos="6237"/>
        </w:tabs>
        <w:jc w:val="both"/>
      </w:pPr>
      <w:r w:rsidRPr="001352F4">
        <w:t xml:space="preserve">                          Mgr. Emília Nováková, člen komisie</w:t>
      </w:r>
    </w:p>
    <w:p w:rsidR="008A2929" w:rsidRDefault="008A2929" w:rsidP="00F34ED7">
      <w:pPr>
        <w:tabs>
          <w:tab w:val="left" w:pos="6237"/>
        </w:tabs>
        <w:jc w:val="both"/>
      </w:pPr>
      <w:r>
        <w:t>Ospravedlnení : Ing. Michal Bedrich</w:t>
      </w:r>
    </w:p>
    <w:p w:rsidR="008A2929" w:rsidRDefault="008A2929" w:rsidP="00F34ED7">
      <w:pPr>
        <w:tabs>
          <w:tab w:val="left" w:pos="6237"/>
        </w:tabs>
        <w:jc w:val="both"/>
      </w:pPr>
      <w:r>
        <w:t xml:space="preserve">                          Ing. Martin </w:t>
      </w:r>
      <w:proofErr w:type="spellStart"/>
      <w:r>
        <w:t>Slovík</w:t>
      </w:r>
      <w:proofErr w:type="spellEnd"/>
    </w:p>
    <w:p w:rsidR="008A2929" w:rsidRDefault="008A2929" w:rsidP="00F34ED7">
      <w:pPr>
        <w:tabs>
          <w:tab w:val="left" w:pos="6237"/>
        </w:tabs>
        <w:jc w:val="both"/>
      </w:pPr>
      <w:r>
        <w:t xml:space="preserve">                          Marián </w:t>
      </w:r>
      <w:proofErr w:type="spellStart"/>
      <w:r>
        <w:t>Grigeľ</w:t>
      </w:r>
      <w:proofErr w:type="spellEnd"/>
    </w:p>
    <w:p w:rsidR="008A2929" w:rsidRPr="001352F4" w:rsidRDefault="008A2929" w:rsidP="00F34ED7">
      <w:pPr>
        <w:tabs>
          <w:tab w:val="left" w:pos="6237"/>
        </w:tabs>
        <w:jc w:val="both"/>
      </w:pPr>
      <w:r>
        <w:t xml:space="preserve">                         </w:t>
      </w:r>
      <w:r>
        <w:tab/>
      </w:r>
    </w:p>
    <w:p w:rsidR="00F34ED7" w:rsidRDefault="00F34ED7" w:rsidP="00F34ED7">
      <w:pPr>
        <w:pStyle w:val="NormalWeb"/>
      </w:pPr>
      <w:r>
        <w:rPr>
          <w:b/>
          <w:bCs/>
          <w:color w:val="000000"/>
        </w:rPr>
        <w:t>Program:</w:t>
      </w:r>
    </w:p>
    <w:p w:rsidR="00F34ED7" w:rsidRDefault="00F34ED7" w:rsidP="00F34ED7">
      <w:pPr>
        <w:pStyle w:val="NormalWeb"/>
      </w:pPr>
      <w:r>
        <w:rPr>
          <w:color w:val="000000"/>
        </w:rPr>
        <w:t> </w:t>
      </w:r>
    </w:p>
    <w:p w:rsidR="00F34ED7" w:rsidRDefault="00F34ED7" w:rsidP="00F34ED7">
      <w:pPr>
        <w:pStyle w:val="NormalWeb"/>
        <w:numPr>
          <w:ilvl w:val="0"/>
          <w:numId w:val="3"/>
        </w:numPr>
        <w:jc w:val="both"/>
      </w:pPr>
      <w:r>
        <w:rPr>
          <w:rFonts w:ascii="Cambria" w:hAnsi="Cambria"/>
        </w:rPr>
        <w:t>Privítanie a predloženie programu</w:t>
      </w:r>
    </w:p>
    <w:p w:rsidR="00F34ED7" w:rsidRDefault="00F34ED7" w:rsidP="00F34ED7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:rsidR="00F34ED7" w:rsidRPr="00F34ED7" w:rsidRDefault="00F34ED7" w:rsidP="00ED4F8E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 w:rsidRPr="00F34ED7">
        <w:rPr>
          <w:rFonts w:ascii="Cambria" w:hAnsi="Cambria"/>
          <w:color w:val="000000"/>
        </w:rPr>
        <w:t xml:space="preserve">Kontrola plnenia uznesení </w:t>
      </w:r>
    </w:p>
    <w:p w:rsidR="0027216D" w:rsidRPr="0027216D" w:rsidRDefault="0027216D" w:rsidP="0027216D">
      <w:pPr>
        <w:pStyle w:val="NormalWeb"/>
        <w:numPr>
          <w:ilvl w:val="0"/>
          <w:numId w:val="3"/>
        </w:numPr>
        <w:jc w:val="both"/>
        <w:rPr>
          <w:rFonts w:ascii="Cambria" w:hAnsi="Cambria"/>
        </w:rPr>
      </w:pPr>
      <w:r w:rsidRPr="0027216D">
        <w:rPr>
          <w:rFonts w:ascii="Cambria" w:hAnsi="Cambria"/>
        </w:rPr>
        <w:t>VZN o dani z nehnuteľností</w:t>
      </w:r>
    </w:p>
    <w:p w:rsidR="0027216D" w:rsidRPr="0027216D" w:rsidRDefault="0027216D" w:rsidP="0027216D">
      <w:pPr>
        <w:pStyle w:val="NormalWeb"/>
        <w:numPr>
          <w:ilvl w:val="0"/>
          <w:numId w:val="3"/>
        </w:numPr>
        <w:jc w:val="both"/>
        <w:rPr>
          <w:rFonts w:ascii="Cambria" w:hAnsi="Cambria"/>
        </w:rPr>
      </w:pPr>
      <w:r w:rsidRPr="0027216D">
        <w:rPr>
          <w:rFonts w:ascii="Cambria" w:hAnsi="Cambria"/>
        </w:rPr>
        <w:t xml:space="preserve">VZN o dotáciách </w:t>
      </w:r>
    </w:p>
    <w:p w:rsidR="0027216D" w:rsidRPr="0027216D" w:rsidRDefault="0027216D" w:rsidP="0027216D">
      <w:pPr>
        <w:pStyle w:val="NormalWeb"/>
        <w:numPr>
          <w:ilvl w:val="0"/>
          <w:numId w:val="3"/>
        </w:numPr>
        <w:jc w:val="both"/>
        <w:rPr>
          <w:rFonts w:ascii="Cambria" w:hAnsi="Cambria"/>
        </w:rPr>
      </w:pPr>
      <w:r w:rsidRPr="0027216D">
        <w:rPr>
          <w:rFonts w:ascii="Cambria" w:hAnsi="Cambria"/>
        </w:rPr>
        <w:t>Rozpočtové opatrenia</w:t>
      </w:r>
    </w:p>
    <w:p w:rsidR="0027216D" w:rsidRPr="0027216D" w:rsidRDefault="0027216D" w:rsidP="0027216D">
      <w:pPr>
        <w:pStyle w:val="NormalWeb"/>
        <w:numPr>
          <w:ilvl w:val="0"/>
          <w:numId w:val="3"/>
        </w:numPr>
        <w:jc w:val="both"/>
        <w:rPr>
          <w:rFonts w:ascii="Cambria" w:hAnsi="Cambria"/>
        </w:rPr>
      </w:pPr>
      <w:r w:rsidRPr="0027216D">
        <w:rPr>
          <w:rFonts w:ascii="Cambria" w:hAnsi="Cambria"/>
        </w:rPr>
        <w:t>Prehodnotenie nájmov - Uznesenie č. 73/2019</w:t>
      </w:r>
    </w:p>
    <w:p w:rsidR="0027216D" w:rsidRPr="0027216D" w:rsidRDefault="0027216D" w:rsidP="0027216D">
      <w:pPr>
        <w:pStyle w:val="NormalWeb"/>
        <w:numPr>
          <w:ilvl w:val="0"/>
          <w:numId w:val="3"/>
        </w:numPr>
        <w:jc w:val="both"/>
        <w:rPr>
          <w:rFonts w:ascii="Cambria" w:hAnsi="Cambria"/>
        </w:rPr>
      </w:pPr>
      <w:r w:rsidRPr="0027216D">
        <w:rPr>
          <w:rFonts w:ascii="Cambria" w:hAnsi="Cambria"/>
        </w:rPr>
        <w:t>Prevody majetku</w:t>
      </w:r>
    </w:p>
    <w:p w:rsidR="0027216D" w:rsidRPr="0027216D" w:rsidRDefault="0027216D" w:rsidP="0027216D">
      <w:pPr>
        <w:pStyle w:val="NormalWeb"/>
        <w:numPr>
          <w:ilvl w:val="0"/>
          <w:numId w:val="3"/>
        </w:numPr>
        <w:jc w:val="both"/>
        <w:rPr>
          <w:rFonts w:ascii="Cambria" w:hAnsi="Cambria"/>
        </w:rPr>
      </w:pPr>
      <w:r w:rsidRPr="0027216D">
        <w:rPr>
          <w:rFonts w:ascii="Cambria" w:hAnsi="Cambria"/>
        </w:rPr>
        <w:t>Záver</w:t>
      </w:r>
    </w:p>
    <w:p w:rsidR="00F34ED7" w:rsidRPr="002A758D" w:rsidRDefault="00F34ED7" w:rsidP="00F34ED7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tab/>
      </w:r>
      <w:r w:rsidRPr="001352F4">
        <w:rPr>
          <w:i/>
        </w:rPr>
        <w:t xml:space="preserve">                  </w:t>
      </w:r>
    </w:p>
    <w:p w:rsidR="00F34ED7" w:rsidRPr="001D47DA" w:rsidRDefault="00F34ED7" w:rsidP="00F34ED7">
      <w:pPr>
        <w:tabs>
          <w:tab w:val="left" w:pos="6237"/>
        </w:tabs>
        <w:jc w:val="both"/>
        <w:rPr>
          <w:b/>
          <w:i/>
          <w:sz w:val="28"/>
          <w:szCs w:val="28"/>
        </w:rPr>
      </w:pPr>
      <w:r w:rsidRPr="001D47DA">
        <w:rPr>
          <w:b/>
          <w:i/>
          <w:sz w:val="28"/>
          <w:szCs w:val="28"/>
        </w:rPr>
        <w:t>Bod č.1</w:t>
      </w:r>
    </w:p>
    <w:p w:rsidR="00F34ED7" w:rsidRPr="001352F4" w:rsidRDefault="00F34ED7" w:rsidP="00F34ED7">
      <w:pPr>
        <w:tabs>
          <w:tab w:val="left" w:pos="6237"/>
        </w:tabs>
        <w:jc w:val="both"/>
      </w:pPr>
      <w:r w:rsidRPr="001352F4">
        <w:t xml:space="preserve">Na úvod predseda komisie privítal všetkých členov komisie a predložil </w:t>
      </w:r>
      <w:r w:rsidR="007D0673">
        <w:t xml:space="preserve">doplnený program o kontrolu uznesení </w:t>
      </w:r>
      <w:r w:rsidRPr="001352F4">
        <w:t>.</w:t>
      </w:r>
    </w:p>
    <w:p w:rsidR="00F34ED7" w:rsidRPr="001352F4" w:rsidRDefault="00F34ED7" w:rsidP="00F34ED7">
      <w:pPr>
        <w:tabs>
          <w:tab w:val="left" w:pos="6237"/>
        </w:tabs>
        <w:jc w:val="both"/>
      </w:pPr>
    </w:p>
    <w:p w:rsidR="00F34ED7" w:rsidRPr="001D47DA" w:rsidRDefault="00F34ED7" w:rsidP="00F34ED7">
      <w:pPr>
        <w:tabs>
          <w:tab w:val="left" w:pos="6237"/>
        </w:tabs>
        <w:jc w:val="both"/>
        <w:rPr>
          <w:b/>
          <w:i/>
          <w:sz w:val="28"/>
          <w:szCs w:val="28"/>
        </w:rPr>
      </w:pPr>
      <w:r w:rsidRPr="001D47DA">
        <w:rPr>
          <w:b/>
          <w:i/>
          <w:sz w:val="28"/>
          <w:szCs w:val="28"/>
        </w:rPr>
        <w:t>Bod č.2</w:t>
      </w:r>
    </w:p>
    <w:p w:rsidR="00F34ED7" w:rsidRPr="001352F4" w:rsidRDefault="00F34ED7" w:rsidP="00F34ED7">
      <w:pPr>
        <w:tabs>
          <w:tab w:val="left" w:pos="6237"/>
        </w:tabs>
        <w:jc w:val="both"/>
      </w:pPr>
      <w:r w:rsidRPr="001352F4">
        <w:t>Za predložený návrh  dal hlasovať.</w:t>
      </w:r>
    </w:p>
    <w:p w:rsidR="00F34ED7" w:rsidRPr="001352F4" w:rsidRDefault="00F34ED7" w:rsidP="00F34ED7">
      <w:pPr>
        <w:tabs>
          <w:tab w:val="left" w:pos="6237"/>
        </w:tabs>
        <w:jc w:val="both"/>
      </w:pPr>
      <w:r w:rsidRPr="001352F4">
        <w:t>Za: všetci členovia</w:t>
      </w:r>
    </w:p>
    <w:p w:rsidR="00F34ED7" w:rsidRDefault="00F34ED7" w:rsidP="00F34ED7">
      <w:pPr>
        <w:tabs>
          <w:tab w:val="left" w:pos="6237"/>
        </w:tabs>
        <w:jc w:val="both"/>
      </w:pPr>
    </w:p>
    <w:p w:rsidR="00F34ED7" w:rsidRPr="001D47DA" w:rsidRDefault="00F34ED7" w:rsidP="00F34ED7">
      <w:pPr>
        <w:tabs>
          <w:tab w:val="left" w:pos="6237"/>
        </w:tabs>
        <w:jc w:val="both"/>
        <w:rPr>
          <w:b/>
          <w:i/>
          <w:sz w:val="28"/>
          <w:szCs w:val="28"/>
        </w:rPr>
      </w:pPr>
      <w:r w:rsidRPr="001D47DA">
        <w:rPr>
          <w:b/>
          <w:i/>
          <w:sz w:val="28"/>
          <w:szCs w:val="28"/>
        </w:rPr>
        <w:t>Bod č.3</w:t>
      </w:r>
    </w:p>
    <w:p w:rsidR="00F34ED7" w:rsidRDefault="00F34ED7" w:rsidP="00F34ED7">
      <w:pPr>
        <w:tabs>
          <w:tab w:val="left" w:pos="6237"/>
        </w:tabs>
        <w:jc w:val="both"/>
      </w:pPr>
      <w:r w:rsidRPr="001352F4">
        <w:t xml:space="preserve">Predseda komisie </w:t>
      </w:r>
      <w:r>
        <w:t>informoval o plnení uznesení prijatých finančnou komisiou.</w:t>
      </w:r>
    </w:p>
    <w:p w:rsidR="005D0110" w:rsidRDefault="005D0110" w:rsidP="00F34ED7">
      <w:pPr>
        <w:tabs>
          <w:tab w:val="left" w:pos="6237"/>
        </w:tabs>
        <w:jc w:val="both"/>
        <w:rPr>
          <w:b/>
          <w:i/>
        </w:rPr>
      </w:pPr>
    </w:p>
    <w:p w:rsidR="00F34ED7" w:rsidRPr="001D47DA" w:rsidRDefault="00F34ED7" w:rsidP="00F34ED7">
      <w:pPr>
        <w:tabs>
          <w:tab w:val="left" w:pos="6237"/>
        </w:tabs>
        <w:jc w:val="both"/>
        <w:rPr>
          <w:b/>
          <w:i/>
          <w:sz w:val="28"/>
          <w:szCs w:val="28"/>
        </w:rPr>
      </w:pPr>
      <w:r w:rsidRPr="001D47DA">
        <w:rPr>
          <w:b/>
          <w:i/>
          <w:sz w:val="28"/>
          <w:szCs w:val="28"/>
        </w:rPr>
        <w:t>Bod č.4</w:t>
      </w:r>
    </w:p>
    <w:p w:rsidR="00CA584D" w:rsidRDefault="0019409F" w:rsidP="00F34ED7">
      <w:pPr>
        <w:jc w:val="both"/>
        <w:rPr>
          <w:rFonts w:eastAsia="Calibri"/>
        </w:rPr>
      </w:pPr>
      <w:r>
        <w:rPr>
          <w:rFonts w:eastAsia="Calibri"/>
        </w:rPr>
        <w:t>Komisii bol predložený n</w:t>
      </w:r>
      <w:r w:rsidR="00CA584D">
        <w:rPr>
          <w:rFonts w:eastAsia="Calibri"/>
        </w:rPr>
        <w:t>ávrh VZN o dani z nehnuteľností.</w:t>
      </w:r>
    </w:p>
    <w:p w:rsidR="00CA584D" w:rsidRDefault="00CA584D" w:rsidP="00F34ED7">
      <w:pPr>
        <w:jc w:val="both"/>
        <w:rPr>
          <w:rFonts w:eastAsia="Calibri"/>
          <w:b/>
        </w:rPr>
      </w:pPr>
    </w:p>
    <w:p w:rsidR="00CA584D" w:rsidRPr="00CA584D" w:rsidRDefault="00CA584D" w:rsidP="00F34ED7">
      <w:pPr>
        <w:jc w:val="both"/>
        <w:rPr>
          <w:rFonts w:eastAsia="Calibri"/>
          <w:b/>
        </w:rPr>
      </w:pPr>
      <w:r w:rsidRPr="00CA584D">
        <w:rPr>
          <w:rFonts w:eastAsia="Calibri"/>
          <w:b/>
        </w:rPr>
        <w:t>Uznesenie č 12.</w:t>
      </w:r>
    </w:p>
    <w:p w:rsidR="00F34ED7" w:rsidRDefault="00CA584D" w:rsidP="00F34ED7">
      <w:pPr>
        <w:jc w:val="both"/>
        <w:rPr>
          <w:rFonts w:eastAsia="Calibri"/>
        </w:rPr>
      </w:pPr>
      <w:r>
        <w:rPr>
          <w:rFonts w:eastAsia="Calibri"/>
        </w:rPr>
        <w:t>Komisia s  návrhom  nesúhlasí</w:t>
      </w:r>
      <w:r w:rsidR="0019409F">
        <w:rPr>
          <w:rFonts w:eastAsia="Calibri"/>
        </w:rPr>
        <w:t xml:space="preserve"> a </w:t>
      </w:r>
      <w:proofErr w:type="spellStart"/>
      <w:r w:rsidR="0019409F">
        <w:rPr>
          <w:rFonts w:eastAsia="Calibri"/>
        </w:rPr>
        <w:t>doporučuje</w:t>
      </w:r>
      <w:proofErr w:type="spellEnd"/>
      <w:r w:rsidR="0019409F">
        <w:rPr>
          <w:rFonts w:eastAsia="Calibri"/>
        </w:rPr>
        <w:t xml:space="preserve"> </w:t>
      </w:r>
      <w:r>
        <w:rPr>
          <w:rFonts w:eastAsia="Calibri"/>
        </w:rPr>
        <w:t xml:space="preserve">nasledujúce zmeny- </w:t>
      </w:r>
      <w:r w:rsidR="009D586A">
        <w:rPr>
          <w:rFonts w:eastAsia="Calibri"/>
        </w:rPr>
        <w:t xml:space="preserve">sadzbu OP zvýšiť na 0,60%, TTP na 1%, stavebné pozemky 1%, záhrady 0,35%, </w:t>
      </w:r>
      <w:proofErr w:type="spellStart"/>
      <w:r w:rsidR="009D586A">
        <w:rPr>
          <w:rFonts w:eastAsia="Calibri"/>
        </w:rPr>
        <w:t>ZPaN</w:t>
      </w:r>
      <w:proofErr w:type="spellEnd"/>
      <w:r w:rsidR="009D586A">
        <w:rPr>
          <w:rFonts w:eastAsia="Calibri"/>
        </w:rPr>
        <w:t xml:space="preserve"> v obytných plochách 0,35%,</w:t>
      </w:r>
      <w:r w:rsidR="008A2929">
        <w:rPr>
          <w:rFonts w:eastAsia="Calibri"/>
        </w:rPr>
        <w:t xml:space="preserve"> </w:t>
      </w:r>
      <w:proofErr w:type="spellStart"/>
      <w:r w:rsidR="008A2929">
        <w:rPr>
          <w:rFonts w:eastAsia="Calibri"/>
        </w:rPr>
        <w:t>ZPaN</w:t>
      </w:r>
      <w:proofErr w:type="spellEnd"/>
      <w:r w:rsidR="008A2929">
        <w:rPr>
          <w:rFonts w:eastAsia="Calibri"/>
        </w:rPr>
        <w:t xml:space="preserve"> v priemyselných zónach 1%, lesné pozemky 0.5%, trafostanice</w:t>
      </w:r>
      <w:r w:rsidR="009D586A">
        <w:rPr>
          <w:rFonts w:eastAsia="Calibri"/>
        </w:rPr>
        <w:t xml:space="preserve"> </w:t>
      </w:r>
      <w:r w:rsidR="008A2929">
        <w:rPr>
          <w:rFonts w:eastAsia="Calibri"/>
        </w:rPr>
        <w:t xml:space="preserve">a predajne </w:t>
      </w:r>
      <w:proofErr w:type="spellStart"/>
      <w:r w:rsidR="008A2929">
        <w:rPr>
          <w:rFonts w:eastAsia="Calibri"/>
        </w:rPr>
        <w:t>stanky</w:t>
      </w:r>
      <w:proofErr w:type="spellEnd"/>
      <w:r w:rsidR="008A2929">
        <w:rPr>
          <w:rFonts w:eastAsia="Calibri"/>
        </w:rPr>
        <w:t xml:space="preserve"> 1.5%,.</w:t>
      </w:r>
      <w:r w:rsidR="009D586A">
        <w:rPr>
          <w:rFonts w:eastAsia="Calibri"/>
        </w:rPr>
        <w:t xml:space="preserve">Sadzbu dane zo stavieb na bývanie a príslušnosti k týmto stavbám 0,20Eur, chaty na individuálnu rekreáciu 1,90Eur, samostatne stojace garáže 1,40Eur, hromadné garáže 1,20Eur, garáže umiestnené pod zemou 0,50Eur, </w:t>
      </w:r>
      <w:r w:rsidR="008A2929">
        <w:rPr>
          <w:rFonts w:eastAsia="Calibri"/>
        </w:rPr>
        <w:t xml:space="preserve">ostatne stavby 0.5, </w:t>
      </w:r>
      <w:r w:rsidR="009D586A">
        <w:rPr>
          <w:rFonts w:eastAsia="Calibri"/>
        </w:rPr>
        <w:t>priemyselné  stavby 1,40Eur,</w:t>
      </w:r>
      <w:r w:rsidR="008A2929">
        <w:rPr>
          <w:rFonts w:eastAsia="Calibri"/>
        </w:rPr>
        <w:t xml:space="preserve"> </w:t>
      </w:r>
      <w:r w:rsidR="009D586A">
        <w:rPr>
          <w:rFonts w:eastAsia="Calibri"/>
        </w:rPr>
        <w:t xml:space="preserve"> stavby na podnikanie 1,90Eur, byty 0,20Eur, nebytový priestor na garáž 0,50Eura a nebytový priestor na podnikanie 1,90Eur. </w:t>
      </w:r>
    </w:p>
    <w:p w:rsidR="009D586A" w:rsidRDefault="009D586A" w:rsidP="00F34ED7">
      <w:pPr>
        <w:jc w:val="both"/>
        <w:rPr>
          <w:rFonts w:eastAsia="Calibri"/>
        </w:rPr>
      </w:pPr>
    </w:p>
    <w:p w:rsidR="005D0110" w:rsidRDefault="009D586A" w:rsidP="005D0110">
      <w:pPr>
        <w:jc w:val="both"/>
        <w:rPr>
          <w:rFonts w:eastAsia="Calibri"/>
        </w:rPr>
      </w:pPr>
      <w:r>
        <w:rPr>
          <w:rFonts w:eastAsia="Calibri"/>
        </w:rPr>
        <w:t>Za: 5 členov</w:t>
      </w:r>
      <w:r w:rsidR="005D0110">
        <w:rPr>
          <w:rFonts w:eastAsia="Calibri"/>
        </w:rPr>
        <w:t xml:space="preserve">                    Proti: 1člen</w:t>
      </w:r>
      <w:r w:rsidR="005D0110">
        <w:rPr>
          <w:rFonts w:eastAsia="Calibri"/>
        </w:rPr>
        <w:tab/>
      </w:r>
      <w:r w:rsidR="005D0110">
        <w:rPr>
          <w:rFonts w:eastAsia="Calibri"/>
        </w:rPr>
        <w:tab/>
      </w:r>
      <w:r w:rsidR="005D0110">
        <w:rPr>
          <w:rFonts w:eastAsia="Calibri"/>
        </w:rPr>
        <w:tab/>
      </w:r>
      <w:r w:rsidR="005D0110">
        <w:rPr>
          <w:rFonts w:eastAsia="Calibri"/>
        </w:rPr>
        <w:tab/>
        <w:t>Zdržal sa: 1 člen</w:t>
      </w:r>
    </w:p>
    <w:p w:rsidR="00A316A9" w:rsidRDefault="00A316A9" w:rsidP="00F34ED7">
      <w:pPr>
        <w:jc w:val="both"/>
        <w:rPr>
          <w:rFonts w:eastAsia="Calibri"/>
          <w:b/>
          <w:i/>
        </w:rPr>
      </w:pPr>
    </w:p>
    <w:p w:rsidR="00F34ED7" w:rsidRPr="001D47DA" w:rsidRDefault="00F34ED7" w:rsidP="00F34ED7">
      <w:pPr>
        <w:jc w:val="both"/>
        <w:rPr>
          <w:rFonts w:eastAsia="Calibri"/>
          <w:b/>
          <w:i/>
          <w:sz w:val="28"/>
          <w:szCs w:val="28"/>
        </w:rPr>
      </w:pPr>
      <w:r w:rsidRPr="001D47DA">
        <w:rPr>
          <w:rFonts w:eastAsia="Calibri"/>
          <w:b/>
          <w:i/>
          <w:sz w:val="28"/>
          <w:szCs w:val="28"/>
        </w:rPr>
        <w:t>Bod č.5</w:t>
      </w:r>
    </w:p>
    <w:p w:rsidR="00CA584D" w:rsidRPr="00CA584D" w:rsidRDefault="00CA584D" w:rsidP="00F34ED7">
      <w:pPr>
        <w:jc w:val="both"/>
        <w:rPr>
          <w:rFonts w:eastAsia="Calibri"/>
          <w:b/>
        </w:rPr>
      </w:pPr>
    </w:p>
    <w:p w:rsidR="00CA584D" w:rsidRDefault="00A316A9" w:rsidP="00F34ED7">
      <w:pPr>
        <w:jc w:val="both"/>
        <w:rPr>
          <w:rFonts w:eastAsia="Calibri"/>
        </w:rPr>
      </w:pPr>
      <w:r>
        <w:rPr>
          <w:rFonts w:eastAsia="Calibri"/>
        </w:rPr>
        <w:t>Komisii bol predložený návrh</w:t>
      </w:r>
      <w:r w:rsidR="00CA584D">
        <w:rPr>
          <w:rFonts w:eastAsia="Calibri"/>
        </w:rPr>
        <w:t xml:space="preserve"> VZN o dotáciách.</w:t>
      </w:r>
      <w:r>
        <w:rPr>
          <w:rFonts w:eastAsia="Calibri"/>
        </w:rPr>
        <w:t xml:space="preserve"> </w:t>
      </w:r>
    </w:p>
    <w:p w:rsidR="00CA584D" w:rsidRDefault="00CA584D" w:rsidP="00CA584D">
      <w:pPr>
        <w:jc w:val="both"/>
        <w:rPr>
          <w:rFonts w:eastAsia="Calibri"/>
          <w:b/>
        </w:rPr>
      </w:pPr>
    </w:p>
    <w:p w:rsidR="00CA584D" w:rsidRPr="00CA584D" w:rsidRDefault="00CA584D" w:rsidP="00CA584D">
      <w:pPr>
        <w:jc w:val="both"/>
        <w:rPr>
          <w:rFonts w:eastAsia="Calibri"/>
          <w:b/>
        </w:rPr>
      </w:pPr>
      <w:r w:rsidRPr="00CA584D">
        <w:rPr>
          <w:rFonts w:eastAsia="Calibri"/>
          <w:b/>
        </w:rPr>
        <w:t>Uznesenie</w:t>
      </w:r>
      <w:r>
        <w:rPr>
          <w:rFonts w:eastAsia="Calibri"/>
          <w:b/>
        </w:rPr>
        <w:t xml:space="preserve"> č 13</w:t>
      </w:r>
      <w:r w:rsidRPr="00CA584D">
        <w:rPr>
          <w:rFonts w:eastAsia="Calibri"/>
          <w:b/>
        </w:rPr>
        <w:t>.</w:t>
      </w:r>
    </w:p>
    <w:p w:rsidR="00F34ED7" w:rsidRDefault="001D47DA" w:rsidP="00F34ED7">
      <w:pPr>
        <w:jc w:val="both"/>
        <w:rPr>
          <w:rFonts w:eastAsia="Calibri"/>
        </w:rPr>
      </w:pPr>
      <w:r>
        <w:rPr>
          <w:rFonts w:eastAsia="Calibri"/>
        </w:rPr>
        <w:t>Komisia s návrhom  nesúhlasí</w:t>
      </w:r>
      <w:r w:rsidR="00A316A9">
        <w:rPr>
          <w:rFonts w:eastAsia="Calibri"/>
        </w:rPr>
        <w:t xml:space="preserve"> a </w:t>
      </w:r>
      <w:proofErr w:type="spellStart"/>
      <w:r w:rsidR="00A316A9">
        <w:rPr>
          <w:rFonts w:eastAsia="Calibri"/>
        </w:rPr>
        <w:t>doporučuje</w:t>
      </w:r>
      <w:proofErr w:type="spellEnd"/>
      <w:r w:rsidR="00A316A9">
        <w:rPr>
          <w:rFonts w:eastAsia="Calibri"/>
        </w:rPr>
        <w:t xml:space="preserve"> doplniť do pôvodného znenia VZN č. 2/2006  opatrenia, ktoré vyplývajú z kontroly NKÚ, schvaľovacie kompetencie a zmeniť termín predkladania žiadostí do 30.septembra príslušného kalendárneho roka.</w:t>
      </w:r>
    </w:p>
    <w:p w:rsidR="00CA584D" w:rsidRDefault="00CA584D" w:rsidP="00F34ED7">
      <w:pPr>
        <w:jc w:val="both"/>
        <w:rPr>
          <w:rFonts w:eastAsia="Calibri"/>
        </w:rPr>
      </w:pPr>
    </w:p>
    <w:p w:rsidR="00A316A9" w:rsidRDefault="00A316A9" w:rsidP="00F34ED7">
      <w:pPr>
        <w:jc w:val="both"/>
        <w:rPr>
          <w:rFonts w:eastAsia="Calibri"/>
        </w:rPr>
      </w:pPr>
      <w:r>
        <w:rPr>
          <w:rFonts w:eastAsia="Calibri"/>
        </w:rPr>
        <w:t>Za: 5 členov</w:t>
      </w:r>
    </w:p>
    <w:p w:rsidR="00A316A9" w:rsidRDefault="00A316A9" w:rsidP="00F34ED7">
      <w:pPr>
        <w:jc w:val="both"/>
        <w:rPr>
          <w:rFonts w:eastAsia="Calibri"/>
        </w:rPr>
      </w:pPr>
      <w:r>
        <w:rPr>
          <w:rFonts w:eastAsia="Calibri"/>
        </w:rPr>
        <w:t>Proti: 1člen</w:t>
      </w:r>
    </w:p>
    <w:p w:rsidR="00A316A9" w:rsidRDefault="00A316A9" w:rsidP="00F34ED7">
      <w:pPr>
        <w:jc w:val="both"/>
        <w:rPr>
          <w:rFonts w:eastAsia="Calibri"/>
        </w:rPr>
      </w:pPr>
      <w:r>
        <w:rPr>
          <w:rFonts w:eastAsia="Calibri"/>
        </w:rPr>
        <w:t>Zdržal sa: 1 člen</w:t>
      </w:r>
    </w:p>
    <w:p w:rsidR="00A316A9" w:rsidRDefault="00A316A9" w:rsidP="00F34ED7">
      <w:pPr>
        <w:jc w:val="both"/>
        <w:rPr>
          <w:rFonts w:eastAsia="Calibri"/>
        </w:rPr>
      </w:pPr>
    </w:p>
    <w:p w:rsidR="00F34ED7" w:rsidRPr="001D47DA" w:rsidRDefault="00F34ED7" w:rsidP="00F34ED7">
      <w:pPr>
        <w:jc w:val="both"/>
        <w:rPr>
          <w:rFonts w:eastAsia="Calibri"/>
          <w:b/>
          <w:i/>
          <w:sz w:val="28"/>
          <w:szCs w:val="28"/>
        </w:rPr>
      </w:pPr>
      <w:r w:rsidRPr="001D47DA">
        <w:rPr>
          <w:rFonts w:eastAsia="Calibri"/>
          <w:b/>
          <w:i/>
          <w:sz w:val="28"/>
          <w:szCs w:val="28"/>
        </w:rPr>
        <w:t xml:space="preserve">Bod č.6 </w:t>
      </w:r>
    </w:p>
    <w:p w:rsidR="0019409F" w:rsidRDefault="0019409F" w:rsidP="0019409F">
      <w:r w:rsidRPr="00A316A9">
        <w:t>V tomto bode bol prerokovaný návrh  rozpočtového opatrenia 5/2019</w:t>
      </w:r>
    </w:p>
    <w:p w:rsidR="001D47DA" w:rsidRDefault="001D47DA" w:rsidP="0019409F"/>
    <w:p w:rsidR="001D47DA" w:rsidRPr="00A316A9" w:rsidRDefault="001D47DA" w:rsidP="0019409F">
      <w:r w:rsidRPr="00CA584D">
        <w:rPr>
          <w:rFonts w:eastAsia="Calibri"/>
          <w:b/>
        </w:rPr>
        <w:t>Uznesenie</w:t>
      </w:r>
      <w:r>
        <w:rPr>
          <w:rFonts w:eastAsia="Calibri"/>
          <w:b/>
        </w:rPr>
        <w:t xml:space="preserve"> č 14</w:t>
      </w:r>
    </w:p>
    <w:p w:rsidR="0019409F" w:rsidRPr="0019409F" w:rsidRDefault="0019409F" w:rsidP="0019409F">
      <w:r w:rsidRPr="0019409F">
        <w:t>Komisia odporúča Mestskému zastupiteľstvu schváliť rozpočtové opatrenie č.5 s výhradami a to:</w:t>
      </w:r>
    </w:p>
    <w:p w:rsidR="0019409F" w:rsidRDefault="0019409F" w:rsidP="0019409F">
      <w:r>
        <w:t>a)</w:t>
      </w:r>
      <w:r w:rsidRPr="0019409F">
        <w:t>vypustiť z návrhu opatrenia  v kapitole 04.5.1 „Cestná doprava“ navýšenie dotácie pre TS mesta Námestovo vo výške 54 000Eur</w:t>
      </w:r>
    </w:p>
    <w:p w:rsidR="0019409F" w:rsidRDefault="0019409F" w:rsidP="0019409F">
      <w:r>
        <w:t>b)</w:t>
      </w:r>
      <w:r w:rsidRPr="0019409F">
        <w:t>vypustiť v kapitole 06.2.0 „Rozvoj obcí“ navýšenie dotácie pre TS mesta Námestovo vo výške 30 000Eur</w:t>
      </w:r>
    </w:p>
    <w:p w:rsidR="0019409F" w:rsidRPr="0019409F" w:rsidRDefault="0019409F" w:rsidP="0019409F">
      <w:r>
        <w:t>c)</w:t>
      </w:r>
      <w:r w:rsidRPr="0019409F">
        <w:t>neodporúča navýšenie na preplatenie výdavkov spoločnosti ORMO s.r.o. so skončením nájmu v zmysle zmluvy č. 11/2012-1</w:t>
      </w:r>
    </w:p>
    <w:p w:rsidR="0019409F" w:rsidRPr="0019409F" w:rsidRDefault="0019409F" w:rsidP="0019409F">
      <w:r>
        <w:t xml:space="preserve">d) </w:t>
      </w:r>
      <w:r w:rsidRPr="0019409F">
        <w:t xml:space="preserve">neodporúča schváliť zaradenie do rozpočtu „Vybudovanie oplotenia MŠK </w:t>
      </w:r>
      <w:proofErr w:type="spellStart"/>
      <w:r w:rsidRPr="0019409F">
        <w:t>II.etapa</w:t>
      </w:r>
      <w:proofErr w:type="spellEnd"/>
      <w:r w:rsidRPr="0019409F">
        <w:t>, 25000Eur</w:t>
      </w:r>
    </w:p>
    <w:p w:rsidR="0019409F" w:rsidRPr="0019409F" w:rsidRDefault="0019409F" w:rsidP="0019409F">
      <w:r>
        <w:t>e)</w:t>
      </w:r>
      <w:r w:rsidRPr="0019409F">
        <w:t>neodporúča schváliť zaradenie do rozpočtu „ vybudovanie schodov zo spodnej časti cintorína 9 500Eur“</w:t>
      </w:r>
    </w:p>
    <w:p w:rsidR="00F34ED7" w:rsidRPr="0019409F" w:rsidRDefault="00F34ED7" w:rsidP="00F34ED7"/>
    <w:p w:rsidR="00F34ED7" w:rsidRPr="0019409F" w:rsidRDefault="0019409F" w:rsidP="00F34ED7">
      <w:r w:rsidRPr="0019409F">
        <w:t>Za: 7 členov</w:t>
      </w:r>
    </w:p>
    <w:p w:rsidR="00F34ED7" w:rsidRPr="0019409F" w:rsidRDefault="00F34ED7" w:rsidP="00F34ED7">
      <w:pPr>
        <w:jc w:val="both"/>
        <w:rPr>
          <w:rFonts w:eastAsia="Calibri"/>
        </w:rPr>
      </w:pPr>
    </w:p>
    <w:p w:rsidR="00F34ED7" w:rsidRPr="001D47DA" w:rsidRDefault="00F34ED7" w:rsidP="00F34ED7">
      <w:pPr>
        <w:jc w:val="both"/>
        <w:rPr>
          <w:rFonts w:eastAsia="Calibri"/>
          <w:b/>
          <w:i/>
          <w:sz w:val="28"/>
          <w:szCs w:val="28"/>
        </w:rPr>
      </w:pPr>
      <w:r w:rsidRPr="001D47DA">
        <w:rPr>
          <w:rFonts w:eastAsia="Calibri"/>
          <w:b/>
          <w:i/>
          <w:sz w:val="28"/>
          <w:szCs w:val="28"/>
        </w:rPr>
        <w:t xml:space="preserve">Bod č.7 </w:t>
      </w:r>
    </w:p>
    <w:p w:rsidR="0019409F" w:rsidRPr="005D0110" w:rsidRDefault="00EE1238" w:rsidP="00F34ED7">
      <w:pPr>
        <w:spacing w:after="120"/>
        <w:jc w:val="both"/>
      </w:pPr>
      <w:r>
        <w:t>Komisii bol predložený</w:t>
      </w:r>
      <w:r w:rsidR="00A67A06" w:rsidRPr="005D0110">
        <w:t xml:space="preserve"> </w:t>
      </w:r>
      <w:r w:rsidR="00086AF5">
        <w:t xml:space="preserve">návrh prehodnotenia </w:t>
      </w:r>
      <w:r>
        <w:t>zvýšenie</w:t>
      </w:r>
      <w:r w:rsidR="00A67A06" w:rsidRPr="005D0110">
        <w:t xml:space="preserve"> nájomného</w:t>
      </w:r>
      <w:r w:rsidR="005D0110" w:rsidRPr="005D0110">
        <w:t>. Pri tejto úprave</w:t>
      </w:r>
      <w:r>
        <w:t xml:space="preserve"> sa vychádzalo</w:t>
      </w:r>
      <w:r w:rsidR="005D0110" w:rsidRPr="005D0110">
        <w:t xml:space="preserve"> z porovnania obvyklých cien za prenájmy obdobných nebytových priestorov v danej lokalite.</w:t>
      </w:r>
      <w:r w:rsidR="00921047" w:rsidRPr="005D0110">
        <w:t xml:space="preserve"> </w:t>
      </w:r>
      <w:r w:rsidR="00D55D21">
        <w:t>Keďže pri prehodnocovaní,</w:t>
      </w:r>
      <w:bookmarkStart w:id="0" w:name="_GoBack"/>
      <w:bookmarkEnd w:id="0"/>
      <w:r w:rsidR="00D55D21">
        <w:t xml:space="preserve"> sa nešlo podľa schváleného uznesenia č. 9 zo zasadnutia komisie zo  dňa 21.8.2019 a v rovnakej podobe to bolo následne schválené aj </w:t>
      </w:r>
      <w:proofErr w:type="spellStart"/>
      <w:r w:rsidR="00D55D21">
        <w:t>MsZ</w:t>
      </w:r>
      <w:proofErr w:type="spellEnd"/>
      <w:r w:rsidR="00D55D21">
        <w:t>, komisia daný bod neprerokovala.</w:t>
      </w:r>
    </w:p>
    <w:p w:rsidR="00F34ED7" w:rsidRPr="001D47DA" w:rsidRDefault="00F34ED7" w:rsidP="00F34ED7">
      <w:pPr>
        <w:spacing w:after="120"/>
        <w:jc w:val="both"/>
        <w:rPr>
          <w:b/>
          <w:i/>
          <w:sz w:val="28"/>
          <w:szCs w:val="28"/>
        </w:rPr>
      </w:pPr>
      <w:r w:rsidRPr="001D47DA">
        <w:rPr>
          <w:b/>
          <w:i/>
          <w:sz w:val="28"/>
          <w:szCs w:val="28"/>
        </w:rPr>
        <w:t>Bod č.8</w:t>
      </w:r>
    </w:p>
    <w:p w:rsidR="00A67A06" w:rsidRDefault="00B8782A" w:rsidP="00F34ED7">
      <w:pPr>
        <w:spacing w:after="120"/>
        <w:jc w:val="both"/>
      </w:pPr>
      <w:r w:rsidRPr="00B8782A">
        <w:t>Komisia sa mala vyjadriť k</w:t>
      </w:r>
      <w:r w:rsidR="009D586A">
        <w:t> </w:t>
      </w:r>
      <w:r w:rsidRPr="00B8782A">
        <w:t>cene</w:t>
      </w:r>
      <w:r w:rsidR="009D586A">
        <w:t xml:space="preserve"> prípadného odpredaja pozemku vo vlastníctve mesta</w:t>
      </w:r>
      <w:r w:rsidRPr="00B8782A">
        <w:t xml:space="preserve"> k žiadosti p. </w:t>
      </w:r>
      <w:proofErr w:type="spellStart"/>
      <w:r w:rsidRPr="00B8782A">
        <w:t>Hrubjaka</w:t>
      </w:r>
      <w:proofErr w:type="spellEnd"/>
      <w:r w:rsidR="009D586A">
        <w:t>, p. Mgr. Michaely Kováčikovej</w:t>
      </w:r>
      <w:r w:rsidR="00A67A06">
        <w:t xml:space="preserve"> .</w:t>
      </w:r>
    </w:p>
    <w:p w:rsidR="00B8782A" w:rsidRDefault="001D47DA" w:rsidP="00F34ED7">
      <w:pPr>
        <w:spacing w:after="120"/>
        <w:jc w:val="both"/>
      </w:pPr>
      <w:r>
        <w:t xml:space="preserve">Nakoľko komisia </w:t>
      </w:r>
      <w:proofErr w:type="spellStart"/>
      <w:r>
        <w:t>VUPDaŽP</w:t>
      </w:r>
      <w:proofErr w:type="spellEnd"/>
      <w:r>
        <w:t xml:space="preserve"> navrhla</w:t>
      </w:r>
      <w:r w:rsidR="00B8782A" w:rsidRPr="00B8782A">
        <w:t xml:space="preserve"> </w:t>
      </w:r>
      <w:r>
        <w:t xml:space="preserve">vypracovať nový geometrický plán a ten nebol na zasadnutí predložení, </w:t>
      </w:r>
      <w:r w:rsidR="00B8782A" w:rsidRPr="00B8782A">
        <w:t>komisia sa</w:t>
      </w:r>
      <w:r>
        <w:t xml:space="preserve"> teda nemohla vyjadriť,</w:t>
      </w:r>
      <w:r w:rsidR="00B8782A" w:rsidRPr="00B8782A">
        <w:t> s predloženým návrhom nesúhlasila.</w:t>
      </w:r>
    </w:p>
    <w:p w:rsidR="00A67A06" w:rsidRDefault="00A67A06" w:rsidP="00F34ED7">
      <w:pPr>
        <w:spacing w:after="120"/>
        <w:jc w:val="both"/>
      </w:pPr>
      <w:r>
        <w:t>K </w:t>
      </w:r>
      <w:r w:rsidRPr="00B8782A">
        <w:t>cene</w:t>
      </w:r>
      <w:r>
        <w:t xml:space="preserve"> prípadného odpredaja pozemku vo vlastníctve mesta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s.r.o</w:t>
      </w:r>
      <w:proofErr w:type="spellEnd"/>
      <w:r>
        <w:t>.</w:t>
      </w:r>
    </w:p>
    <w:p w:rsidR="00A67A06" w:rsidRDefault="00081B27" w:rsidP="00F34ED7">
      <w:pPr>
        <w:spacing w:after="120"/>
        <w:jc w:val="both"/>
      </w:pPr>
      <w:r>
        <w:lastRenderedPageBreak/>
        <w:t>Z</w:t>
      </w:r>
      <w:r w:rsidR="001D47DA">
        <w:t xml:space="preserve">ástupca spoločnosti </w:t>
      </w:r>
      <w:proofErr w:type="spellStart"/>
      <w:r w:rsidR="001D47DA">
        <w:t>Universal</w:t>
      </w:r>
      <w:proofErr w:type="spellEnd"/>
      <w:r w:rsidR="001D47DA">
        <w:t xml:space="preserve"> </w:t>
      </w:r>
      <w:proofErr w:type="spellStart"/>
      <w:r w:rsidR="001D47DA">
        <w:t>s.r.o</w:t>
      </w:r>
      <w:proofErr w:type="spellEnd"/>
      <w:r>
        <w:t xml:space="preserve"> p. Matejčík, predstavil komisií projekt prestavby budovy</w:t>
      </w:r>
      <w:r w:rsidR="00B463DF">
        <w:t xml:space="preserve">, ktoré majú vo vlastníctve, nachádzajúci sa na nábreží Or. Priehrady. </w:t>
      </w:r>
      <w:r w:rsidR="00A67A06">
        <w:t>Členovia komisie boli informovaní, že mesto Námestovo žiadateľovi „</w:t>
      </w:r>
      <w:proofErr w:type="spellStart"/>
      <w:r w:rsidR="00A67A06">
        <w:t>Universal</w:t>
      </w:r>
      <w:proofErr w:type="spellEnd"/>
      <w:r w:rsidR="00A67A06">
        <w:t xml:space="preserve"> </w:t>
      </w:r>
      <w:proofErr w:type="spellStart"/>
      <w:r w:rsidR="00A67A06">
        <w:t>s.r.o</w:t>
      </w:r>
      <w:proofErr w:type="spellEnd"/>
      <w:r w:rsidR="00A67A06">
        <w:t xml:space="preserve">. „ predaj majetku odmietlo z dôvodu, </w:t>
      </w:r>
      <w:r w:rsidR="00A67A06" w:rsidRPr="0043093F">
        <w:t>že daný majetok nepovažuje za prebytočný.</w:t>
      </w:r>
    </w:p>
    <w:p w:rsidR="005D0110" w:rsidRDefault="005D0110" w:rsidP="00F34ED7">
      <w:pPr>
        <w:spacing w:after="120"/>
        <w:jc w:val="both"/>
        <w:rPr>
          <w:b/>
          <w:i/>
        </w:rPr>
      </w:pPr>
    </w:p>
    <w:p w:rsidR="00F34ED7" w:rsidRPr="001D47DA" w:rsidRDefault="00F34ED7" w:rsidP="00F34ED7">
      <w:pPr>
        <w:spacing w:after="120"/>
        <w:jc w:val="both"/>
        <w:rPr>
          <w:b/>
          <w:i/>
          <w:sz w:val="28"/>
          <w:szCs w:val="28"/>
        </w:rPr>
      </w:pPr>
      <w:r w:rsidRPr="001D47DA">
        <w:rPr>
          <w:b/>
          <w:i/>
          <w:sz w:val="28"/>
          <w:szCs w:val="28"/>
        </w:rPr>
        <w:t>Bod č.9</w:t>
      </w:r>
    </w:p>
    <w:p w:rsidR="00F34ED7" w:rsidRPr="0078308F" w:rsidRDefault="00F34ED7" w:rsidP="00F34ED7">
      <w:pPr>
        <w:jc w:val="both"/>
        <w:rPr>
          <w:rFonts w:eastAsia="Calibri"/>
        </w:rPr>
      </w:pPr>
      <w:r>
        <w:rPr>
          <w:rFonts w:eastAsia="Calibri"/>
        </w:rPr>
        <w:t>Predseda komisie sa poďakoval členom komisie za účasť.</w:t>
      </w:r>
    </w:p>
    <w:p w:rsidR="00F34ED7" w:rsidRDefault="00F34ED7" w:rsidP="00F34ED7">
      <w:pPr>
        <w:jc w:val="both"/>
        <w:rPr>
          <w:i/>
        </w:rPr>
      </w:pPr>
    </w:p>
    <w:p w:rsidR="00F34ED7" w:rsidRDefault="00F34ED7" w:rsidP="00F34ED7">
      <w:pPr>
        <w:jc w:val="both"/>
        <w:rPr>
          <w:i/>
        </w:rPr>
      </w:pPr>
      <w:r>
        <w:rPr>
          <w:i/>
        </w:rPr>
        <w:t>Zapísala: Mgr. Katarína Rusinová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F34ED7" w:rsidRDefault="00F34ED7" w:rsidP="00F34ED7">
      <w:pPr>
        <w:jc w:val="both"/>
        <w:rPr>
          <w:i/>
        </w:rPr>
      </w:pPr>
    </w:p>
    <w:p w:rsidR="00F34ED7" w:rsidRDefault="00F34ED7" w:rsidP="00F34ED7">
      <w:pPr>
        <w:jc w:val="both"/>
        <w:rPr>
          <w:i/>
        </w:rPr>
      </w:pPr>
    </w:p>
    <w:p w:rsidR="00F34ED7" w:rsidRPr="00997F7C" w:rsidRDefault="00F34ED7" w:rsidP="00F34ED7">
      <w:pPr>
        <w:jc w:val="both"/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97F7C">
        <w:rPr>
          <w:b/>
          <w:i/>
        </w:rPr>
        <w:t xml:space="preserve">       Ing. </w:t>
      </w:r>
      <w:r>
        <w:rPr>
          <w:b/>
          <w:i/>
        </w:rPr>
        <w:t>Štefan Uhliarik</w:t>
      </w:r>
    </w:p>
    <w:p w:rsidR="00F34ED7" w:rsidRDefault="00F34ED7" w:rsidP="00F34ED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predseda komisia</w:t>
      </w:r>
    </w:p>
    <w:p w:rsidR="00F34ED7" w:rsidRDefault="00F34ED7" w:rsidP="00F34ED7">
      <w:pPr>
        <w:jc w:val="both"/>
        <w:rPr>
          <w:i/>
        </w:rPr>
      </w:pPr>
    </w:p>
    <w:p w:rsidR="00F34ED7" w:rsidRDefault="00F34ED7" w:rsidP="00F34ED7">
      <w:pPr>
        <w:tabs>
          <w:tab w:val="left" w:pos="6237"/>
        </w:tabs>
        <w:jc w:val="both"/>
      </w:pPr>
    </w:p>
    <w:p w:rsidR="00F34ED7" w:rsidRDefault="00F34ED7" w:rsidP="00F34ED7">
      <w:pPr>
        <w:tabs>
          <w:tab w:val="left" w:pos="6237"/>
        </w:tabs>
        <w:jc w:val="both"/>
      </w:pPr>
    </w:p>
    <w:sectPr w:rsidR="00F34ED7" w:rsidSect="00864104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A89" w:rsidRDefault="00736A89" w:rsidP="008A2929">
      <w:r>
        <w:separator/>
      </w:r>
    </w:p>
  </w:endnote>
  <w:endnote w:type="continuationSeparator" w:id="0">
    <w:p w:rsidR="00736A89" w:rsidRDefault="00736A89" w:rsidP="008A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A89" w:rsidRDefault="00736A89" w:rsidP="008A2929">
      <w:r>
        <w:separator/>
      </w:r>
    </w:p>
  </w:footnote>
  <w:footnote w:type="continuationSeparator" w:id="0">
    <w:p w:rsidR="00736A89" w:rsidRDefault="00736A89" w:rsidP="008A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25E7"/>
    <w:multiLevelType w:val="hybridMultilevel"/>
    <w:tmpl w:val="7626054A"/>
    <w:lvl w:ilvl="0" w:tplc="5074EC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4143A"/>
    <w:multiLevelType w:val="hybridMultilevel"/>
    <w:tmpl w:val="4E5EE1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E4920"/>
    <w:multiLevelType w:val="hybridMultilevel"/>
    <w:tmpl w:val="0478F262"/>
    <w:lvl w:ilvl="0" w:tplc="47A0445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A56C6"/>
    <w:multiLevelType w:val="hybridMultilevel"/>
    <w:tmpl w:val="4E14BD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CE"/>
    <w:rsid w:val="000623AE"/>
    <w:rsid w:val="00077666"/>
    <w:rsid w:val="00081B27"/>
    <w:rsid w:val="00086AF5"/>
    <w:rsid w:val="000A7F28"/>
    <w:rsid w:val="000C6C64"/>
    <w:rsid w:val="00105529"/>
    <w:rsid w:val="001352F4"/>
    <w:rsid w:val="00187166"/>
    <w:rsid w:val="0019409F"/>
    <w:rsid w:val="001D47DA"/>
    <w:rsid w:val="002515EB"/>
    <w:rsid w:val="0027216D"/>
    <w:rsid w:val="002826F5"/>
    <w:rsid w:val="00286513"/>
    <w:rsid w:val="002A758D"/>
    <w:rsid w:val="002B5F20"/>
    <w:rsid w:val="00334AA0"/>
    <w:rsid w:val="0036175A"/>
    <w:rsid w:val="00380F13"/>
    <w:rsid w:val="003A4ADE"/>
    <w:rsid w:val="003B5605"/>
    <w:rsid w:val="003E0639"/>
    <w:rsid w:val="003F6079"/>
    <w:rsid w:val="00400F64"/>
    <w:rsid w:val="0041739B"/>
    <w:rsid w:val="0043093F"/>
    <w:rsid w:val="00447803"/>
    <w:rsid w:val="00482C9C"/>
    <w:rsid w:val="004A23CA"/>
    <w:rsid w:val="004C3778"/>
    <w:rsid w:val="004F455B"/>
    <w:rsid w:val="00500D30"/>
    <w:rsid w:val="005061D2"/>
    <w:rsid w:val="00524BF1"/>
    <w:rsid w:val="00534870"/>
    <w:rsid w:val="005D0110"/>
    <w:rsid w:val="006200F7"/>
    <w:rsid w:val="006C2FCE"/>
    <w:rsid w:val="006D5063"/>
    <w:rsid w:val="006D653C"/>
    <w:rsid w:val="00702183"/>
    <w:rsid w:val="007149A0"/>
    <w:rsid w:val="0072409E"/>
    <w:rsid w:val="00734DC3"/>
    <w:rsid w:val="00736A89"/>
    <w:rsid w:val="0078308F"/>
    <w:rsid w:val="007D0673"/>
    <w:rsid w:val="007E6AF4"/>
    <w:rsid w:val="00821688"/>
    <w:rsid w:val="00821937"/>
    <w:rsid w:val="0083016B"/>
    <w:rsid w:val="00864104"/>
    <w:rsid w:val="00874C64"/>
    <w:rsid w:val="008A2929"/>
    <w:rsid w:val="008F6EFA"/>
    <w:rsid w:val="00921047"/>
    <w:rsid w:val="009861FC"/>
    <w:rsid w:val="0099290B"/>
    <w:rsid w:val="009B27A9"/>
    <w:rsid w:val="009B3211"/>
    <w:rsid w:val="009D586A"/>
    <w:rsid w:val="009E39E7"/>
    <w:rsid w:val="00A17B50"/>
    <w:rsid w:val="00A30108"/>
    <w:rsid w:val="00A316A9"/>
    <w:rsid w:val="00A67A06"/>
    <w:rsid w:val="00AA72F5"/>
    <w:rsid w:val="00AB6CE9"/>
    <w:rsid w:val="00AD24A9"/>
    <w:rsid w:val="00AD77D7"/>
    <w:rsid w:val="00B23D71"/>
    <w:rsid w:val="00B463DF"/>
    <w:rsid w:val="00B5340D"/>
    <w:rsid w:val="00B622C5"/>
    <w:rsid w:val="00B80E9E"/>
    <w:rsid w:val="00B80F43"/>
    <w:rsid w:val="00B8122B"/>
    <w:rsid w:val="00B8782A"/>
    <w:rsid w:val="00BD24B8"/>
    <w:rsid w:val="00C85D45"/>
    <w:rsid w:val="00CA584D"/>
    <w:rsid w:val="00CC3A15"/>
    <w:rsid w:val="00CC3C90"/>
    <w:rsid w:val="00CE4BE5"/>
    <w:rsid w:val="00D34742"/>
    <w:rsid w:val="00D4345E"/>
    <w:rsid w:val="00D55D21"/>
    <w:rsid w:val="00D8279F"/>
    <w:rsid w:val="00D84C4E"/>
    <w:rsid w:val="00D9057C"/>
    <w:rsid w:val="00DC1EA7"/>
    <w:rsid w:val="00DE663F"/>
    <w:rsid w:val="00DF3000"/>
    <w:rsid w:val="00E15C3A"/>
    <w:rsid w:val="00E20115"/>
    <w:rsid w:val="00E454F2"/>
    <w:rsid w:val="00E522D3"/>
    <w:rsid w:val="00E54E34"/>
    <w:rsid w:val="00E84851"/>
    <w:rsid w:val="00E97F90"/>
    <w:rsid w:val="00EB6B70"/>
    <w:rsid w:val="00EC52BA"/>
    <w:rsid w:val="00EE1238"/>
    <w:rsid w:val="00F32932"/>
    <w:rsid w:val="00F34ED7"/>
    <w:rsid w:val="00F8060A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24DB8"/>
  <w15:chartTrackingRefBased/>
  <w15:docId w15:val="{A6CB0F54-9A0B-4187-96AB-C14F7095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3F"/>
    <w:rPr>
      <w:rFonts w:ascii="Segoe UI" w:eastAsia="Times New Roman" w:hAnsi="Segoe UI" w:cs="Segoe UI"/>
      <w:sz w:val="18"/>
      <w:szCs w:val="18"/>
      <w:lang w:eastAsia="sk-SK"/>
    </w:rPr>
  </w:style>
  <w:style w:type="paragraph" w:styleId="ListParagraph">
    <w:name w:val="List Paragraph"/>
    <w:basedOn w:val="Normal"/>
    <w:uiPriority w:val="34"/>
    <w:qFormat/>
    <w:rsid w:val="00B53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4E34"/>
    <w:rPr>
      <w:strike w:val="0"/>
      <w:dstrike w:val="0"/>
      <w:color w:val="1779BA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E54E34"/>
  </w:style>
  <w:style w:type="paragraph" w:styleId="Header">
    <w:name w:val="header"/>
    <w:basedOn w:val="Normal"/>
    <w:link w:val="HeaderChar"/>
    <w:uiPriority w:val="99"/>
    <w:unhideWhenUsed/>
    <w:rsid w:val="008A2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92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8A2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92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8" w:space="0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66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5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11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49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Stefan Uhliarik (Namestovo,SK)</cp:lastModifiedBy>
  <cp:revision>15</cp:revision>
  <cp:lastPrinted>2019-11-13T14:21:00Z</cp:lastPrinted>
  <dcterms:created xsi:type="dcterms:W3CDTF">2019-08-30T11:49:00Z</dcterms:created>
  <dcterms:modified xsi:type="dcterms:W3CDTF">2019-11-15T10:17:00Z</dcterms:modified>
</cp:coreProperties>
</file>