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DB" w:rsidRPr="0070626B" w:rsidRDefault="000F08DB" w:rsidP="000F08DB">
      <w:pPr>
        <w:autoSpaceDE w:val="0"/>
        <w:autoSpaceDN w:val="0"/>
        <w:adjustRightInd w:val="0"/>
        <w:ind w:left="2124" w:firstLine="708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70626B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Dôvodová správa</w:t>
      </w:r>
    </w:p>
    <w:p w:rsidR="000F08DB" w:rsidRPr="0070626B" w:rsidRDefault="000F08DB" w:rsidP="000F08D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0626B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Pr="0070626B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</w:t>
      </w:r>
      <w:r w:rsidRPr="0070626B">
        <w:rPr>
          <w:b/>
          <w:bCs/>
          <w:color w:val="000000"/>
          <w:sz w:val="28"/>
          <w:szCs w:val="28"/>
        </w:rPr>
        <w:t xml:space="preserve"> k </w:t>
      </w:r>
      <w:r w:rsidRPr="0070626B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návrhu rozpočtu Mesta Námestovo</w:t>
      </w:r>
      <w:r w:rsidRPr="0070626B">
        <w:rPr>
          <w:b/>
          <w:bCs/>
          <w:color w:val="000000"/>
          <w:sz w:val="28"/>
          <w:szCs w:val="28"/>
        </w:rPr>
        <w:t xml:space="preserve"> na rok 20</w:t>
      </w:r>
      <w:r>
        <w:rPr>
          <w:b/>
          <w:bCs/>
          <w:color w:val="000000"/>
          <w:sz w:val="28"/>
          <w:szCs w:val="28"/>
        </w:rPr>
        <w:t>22</w:t>
      </w:r>
    </w:p>
    <w:p w:rsidR="000F08DB" w:rsidRPr="0070626B" w:rsidRDefault="000F08DB" w:rsidP="000F08D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F08DB" w:rsidRPr="00A3593F" w:rsidRDefault="000F08DB" w:rsidP="000F08D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Medzi legislatívne východiská tvorby schvaľovania rozpočtu patrí právna úprava rozpočtu, ktorou je zákon č. 583/2004 </w:t>
      </w:r>
      <w:r w:rsidRPr="0070626B">
        <w:t>Z. z. o rozpočtových pravidlách územnej samosprávy a o zmene a doplnení niektorých zákonov</w:t>
      </w:r>
      <w:r>
        <w:t xml:space="preserve"> , ústavný zákon </w:t>
      </w:r>
      <w:r w:rsidRPr="0070626B">
        <w:rPr>
          <w:color w:val="000000"/>
        </w:rPr>
        <w:t xml:space="preserve">č. 493/2011 Z. z. o rozpočtovej zodpovednosti </w:t>
      </w:r>
      <w:r>
        <w:rPr>
          <w:color w:val="000000"/>
        </w:rPr>
        <w:t xml:space="preserve">, zákon č. 564/2004 </w:t>
      </w:r>
      <w:proofErr w:type="spellStart"/>
      <w:r>
        <w:rPr>
          <w:color w:val="000000"/>
        </w:rPr>
        <w:t>Z.z</w:t>
      </w:r>
      <w:proofErr w:type="spellEnd"/>
      <w:r>
        <w:rPr>
          <w:color w:val="000000"/>
        </w:rPr>
        <w:t xml:space="preserve">. o rozpočtovom určení výnosu dane z príjmov územnej samospráve a o zmene a doplnení </w:t>
      </w:r>
      <w:r w:rsidRPr="0070626B">
        <w:t>niektorých zákonov</w:t>
      </w:r>
      <w:r>
        <w:t xml:space="preserve"> a nariadenia vlády SR č. 668/2004 </w:t>
      </w:r>
      <w:proofErr w:type="spellStart"/>
      <w:r>
        <w:t>Z.z</w:t>
      </w:r>
      <w:proofErr w:type="spellEnd"/>
      <w:r>
        <w:t>. o rozdeľovaní výnosu dane z príjmov územnej samospráve.</w:t>
      </w:r>
    </w:p>
    <w:p w:rsidR="000F08DB" w:rsidRPr="00E57D21" w:rsidRDefault="000F08DB" w:rsidP="00E57D21">
      <w:pPr>
        <w:pStyle w:val="Default"/>
        <w:numPr>
          <w:ilvl w:val="0"/>
          <w:numId w:val="1"/>
        </w:numPr>
        <w:jc w:val="both"/>
        <w:rPr>
          <w:b/>
          <w:bCs/>
        </w:rPr>
      </w:pPr>
      <w:r>
        <w:t xml:space="preserve">Rozpočet sa zostavuje najmenej na tri rozpočtové roky, </w:t>
      </w:r>
      <w:r w:rsidR="00E57D21">
        <w:t xml:space="preserve">v ktorom sú vyjadrené zámery rozvoja územia a potrieb obyvateľov vrátane </w:t>
      </w:r>
      <w:r w:rsidR="00F922F8">
        <w:t xml:space="preserve">16 </w:t>
      </w:r>
      <w:r w:rsidR="00E57D21">
        <w:t>programov s dôrazom na</w:t>
      </w:r>
      <w:r w:rsidR="00E57D21" w:rsidRPr="00E57D21">
        <w:t xml:space="preserve"> </w:t>
      </w:r>
      <w:r w:rsidR="00E57D21">
        <w:t>vzťah medzi rozpočtovými výdavkami, očakávanými výstupmi a výsledkami realizovaných rozpočtovaných programov a aktivít. S</w:t>
      </w:r>
      <w:r>
        <w:t>účasťou návrhu je aj schválený rozpočet na bežný rozpočtový rok, údaje o očakávanej skutočnosti bežného rozpočtového roka a údaje o skutočnom plnení za predchádzajúce dva rozpočtové roky.</w:t>
      </w:r>
    </w:p>
    <w:p w:rsidR="000F08DB" w:rsidRDefault="000F08DB" w:rsidP="000F08D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Základnou súčasťou viacročného rozpočtu na roky 2022 – 2024 je rozpočet na rok 2022, ktorý je  záväzný a schvaľuje ho mestské zastupiteľstvo. Rozpočty na roky 2023 a 2024 sú  orientačné, mestské zastupiteľstvo ho berie na vedomie.</w:t>
      </w:r>
    </w:p>
    <w:p w:rsidR="000F08DB" w:rsidRPr="003F04AF" w:rsidRDefault="000F08DB" w:rsidP="000F08D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Súčasťou schvaľovania rozpočtu mesta sú rozpočty príjmov a výdavkov rozpočtových organizácií a príspevky príspevkových organizácií zriadených mestom podľa zákona č. 523/2004 </w:t>
      </w:r>
      <w:proofErr w:type="spellStart"/>
      <w:r>
        <w:rPr>
          <w:color w:val="000000"/>
        </w:rPr>
        <w:t>Z.z</w:t>
      </w:r>
      <w:proofErr w:type="spellEnd"/>
      <w:r>
        <w:rPr>
          <w:color w:val="000000"/>
        </w:rPr>
        <w:t xml:space="preserve">. </w:t>
      </w:r>
      <w:r w:rsidRPr="0070626B">
        <w:t>o rozpočtových pravidlách verejnej správy a o zmene a doplnení niektorých zákonov</w:t>
      </w:r>
      <w:r>
        <w:t>.</w:t>
      </w:r>
    </w:p>
    <w:p w:rsidR="000F08DB" w:rsidRPr="00660DFE" w:rsidRDefault="000F08DB" w:rsidP="000F08D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t>Rozpočtová organizácia hospodári s rozpočtovými prostriedkami zriaďovateľa a s prostriedkami prijatými od iných subjektov. Hospodári samostatne s prostriedkami, ktorý jej určí zriaďovateľ v rámci svojho rozpočtu.</w:t>
      </w:r>
    </w:p>
    <w:p w:rsidR="000F08DB" w:rsidRPr="00660DFE" w:rsidRDefault="000F08DB" w:rsidP="000F08D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t xml:space="preserve">Príspevková organizácia hospodári podľa svojho rozpočtu príjmov a výdavkov. Jej rozpočet zahŕňa aj príspevok z rozpočtu zriaďovateľa a prostriedky od iných subjektov. Finančný vzťah medzi zriaďovateľom a príspevkovou organizáciou je určený záväznými ukazovateľmi určenými zriaďovateľom. </w:t>
      </w:r>
    </w:p>
    <w:p w:rsidR="000F08DB" w:rsidRPr="002D1459" w:rsidRDefault="000F08DB" w:rsidP="000F08DB">
      <w:pPr>
        <w:pStyle w:val="Default"/>
        <w:numPr>
          <w:ilvl w:val="0"/>
          <w:numId w:val="1"/>
        </w:numPr>
        <w:jc w:val="both"/>
        <w:rPr>
          <w:b/>
          <w:bCs/>
        </w:rPr>
      </w:pPr>
      <w:r>
        <w:t xml:space="preserve">Rozpočty rozpočtových organizácií a rozpočty príspevkových organizácií zriadených mestom majú rovnaký charakter a členenie ako rozpočet mesta. </w:t>
      </w:r>
    </w:p>
    <w:p w:rsidR="000F08DB" w:rsidRPr="00660DFE" w:rsidRDefault="000F08DB" w:rsidP="000F08DB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0F08DB" w:rsidRDefault="000F08DB" w:rsidP="000F08DB">
      <w:pPr>
        <w:autoSpaceDE w:val="0"/>
        <w:autoSpaceDN w:val="0"/>
        <w:adjustRightInd w:val="0"/>
        <w:jc w:val="both"/>
        <w:rPr>
          <w:color w:val="000000"/>
        </w:rPr>
      </w:pPr>
      <w:r w:rsidRPr="0070626B">
        <w:rPr>
          <w:color w:val="000000"/>
        </w:rPr>
        <w:t xml:space="preserve">Návrh </w:t>
      </w:r>
      <w:r>
        <w:rPr>
          <w:color w:val="000000"/>
        </w:rPr>
        <w:t>rozpočtu</w:t>
      </w:r>
      <w:r w:rsidRPr="0070626B">
        <w:rPr>
          <w:color w:val="000000"/>
        </w:rPr>
        <w:t xml:space="preserve"> na rok 20</w:t>
      </w:r>
      <w:r>
        <w:rPr>
          <w:color w:val="000000"/>
        </w:rPr>
        <w:t>22 vrátane finančných operácií je zostavený ako prebytkový s prebytkom 46</w:t>
      </w:r>
      <w:r w:rsidR="002F7BB8">
        <w:rPr>
          <w:color w:val="000000"/>
        </w:rPr>
        <w:t>0 117</w:t>
      </w:r>
      <w:r>
        <w:rPr>
          <w:color w:val="000000"/>
        </w:rPr>
        <w:t xml:space="preserve"> eur. </w:t>
      </w:r>
    </w:p>
    <w:p w:rsidR="006F7067" w:rsidRDefault="006F7067" w:rsidP="000F08DB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1559"/>
        <w:gridCol w:w="1559"/>
      </w:tblGrid>
      <w:tr w:rsidR="000F08DB" w:rsidRPr="002D193E" w:rsidTr="00F72032">
        <w:tc>
          <w:tcPr>
            <w:tcW w:w="4361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>Ukazovateľ</w:t>
            </w:r>
          </w:p>
        </w:tc>
        <w:tc>
          <w:tcPr>
            <w:tcW w:w="184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D193E">
              <w:rPr>
                <w:color w:val="000000"/>
                <w:sz w:val="20"/>
                <w:szCs w:val="20"/>
              </w:rPr>
              <w:t>Návrh rozpočtu</w:t>
            </w:r>
          </w:p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D193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  <w:sz w:val="20"/>
                <w:szCs w:val="20"/>
              </w:rPr>
              <w:t>Prognóza 2023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D193E">
              <w:rPr>
                <w:color w:val="000000"/>
                <w:sz w:val="20"/>
                <w:szCs w:val="20"/>
              </w:rPr>
              <w:t>Prognóza 2024</w:t>
            </w:r>
          </w:p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0F08DB" w:rsidRPr="002D193E" w:rsidTr="00F72032">
        <w:tc>
          <w:tcPr>
            <w:tcW w:w="4361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D193E">
              <w:rPr>
                <w:color w:val="000000"/>
                <w:sz w:val="22"/>
                <w:szCs w:val="22"/>
              </w:rPr>
              <w:t>Príjmy celkom vrátane finančných operácií</w:t>
            </w:r>
          </w:p>
        </w:tc>
        <w:tc>
          <w:tcPr>
            <w:tcW w:w="184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12 646 325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10 415 929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10 836 666</w:t>
            </w:r>
          </w:p>
        </w:tc>
      </w:tr>
      <w:tr w:rsidR="000F08DB" w:rsidRPr="002D193E" w:rsidTr="00F72032">
        <w:tc>
          <w:tcPr>
            <w:tcW w:w="4361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D193E">
              <w:rPr>
                <w:color w:val="000000"/>
                <w:sz w:val="22"/>
                <w:szCs w:val="22"/>
              </w:rPr>
              <w:t>Výdavky celkom vrátane finančných operácií</w:t>
            </w:r>
          </w:p>
        </w:tc>
        <w:tc>
          <w:tcPr>
            <w:tcW w:w="1843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F7BB8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  <w:r w:rsidR="002F7BB8">
              <w:rPr>
                <w:color w:val="000000"/>
              </w:rPr>
              <w:t>86 208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9 949 </w:t>
            </w:r>
            <w:r w:rsidR="002F7BB8">
              <w:rPr>
                <w:color w:val="000000"/>
              </w:rPr>
              <w:t>6</w:t>
            </w:r>
            <w:r>
              <w:rPr>
                <w:color w:val="000000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2F7BB8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9 617 973</w:t>
            </w:r>
          </w:p>
        </w:tc>
      </w:tr>
      <w:tr w:rsidR="000F08DB" w:rsidRPr="002D193E" w:rsidTr="00F72032">
        <w:tc>
          <w:tcPr>
            <w:tcW w:w="4361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Výs</w:t>
            </w:r>
            <w:r w:rsidRPr="002D193E">
              <w:rPr>
                <w:color w:val="000000"/>
              </w:rPr>
              <w:t xml:space="preserve">ledok hospodárenia </w:t>
            </w:r>
          </w:p>
        </w:tc>
        <w:tc>
          <w:tcPr>
            <w:tcW w:w="1843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+ 46</w:t>
            </w:r>
            <w:r w:rsidR="002F7BB8">
              <w:rPr>
                <w:color w:val="000000"/>
              </w:rPr>
              <w:t>0 117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+ 466 </w:t>
            </w:r>
            <w:r w:rsidR="002F7BB8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2F7BB8">
              <w:rPr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="002F7BB8">
              <w:rPr>
                <w:color w:val="000000"/>
              </w:rPr>
              <w:t>1 1218 693</w:t>
            </w:r>
          </w:p>
        </w:tc>
      </w:tr>
    </w:tbl>
    <w:p w:rsidR="000F08DB" w:rsidRDefault="000F08DB" w:rsidP="000F08DB">
      <w:pPr>
        <w:autoSpaceDE w:val="0"/>
        <w:autoSpaceDN w:val="0"/>
        <w:adjustRightInd w:val="0"/>
        <w:jc w:val="both"/>
        <w:rPr>
          <w:color w:val="000000"/>
        </w:rPr>
      </w:pPr>
    </w:p>
    <w:p w:rsidR="000F08DB" w:rsidRDefault="000F08DB" w:rsidP="000F08DB">
      <w:pPr>
        <w:autoSpaceDE w:val="0"/>
        <w:autoSpaceDN w:val="0"/>
        <w:adjustRightInd w:val="0"/>
        <w:jc w:val="both"/>
        <w:rPr>
          <w:color w:val="000000"/>
        </w:rPr>
      </w:pPr>
      <w:r w:rsidRPr="0070626B">
        <w:rPr>
          <w:color w:val="000000"/>
        </w:rPr>
        <w:t xml:space="preserve">Návrh </w:t>
      </w:r>
      <w:r>
        <w:rPr>
          <w:color w:val="000000"/>
        </w:rPr>
        <w:t xml:space="preserve">rozpočtového hospodárenia </w:t>
      </w:r>
      <w:r w:rsidRPr="0070626B">
        <w:rPr>
          <w:color w:val="000000"/>
        </w:rPr>
        <w:t xml:space="preserve"> na rok 20</w:t>
      </w:r>
      <w:r>
        <w:rPr>
          <w:color w:val="000000"/>
        </w:rPr>
        <w:t xml:space="preserve">22  bez finančných operácií je zostavený ako schodkový. </w:t>
      </w:r>
    </w:p>
    <w:p w:rsidR="00E57D21" w:rsidRDefault="00E57D21" w:rsidP="000F08DB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1559"/>
        <w:gridCol w:w="1559"/>
      </w:tblGrid>
      <w:tr w:rsidR="000F08DB" w:rsidRPr="002D193E" w:rsidTr="00F72032">
        <w:tc>
          <w:tcPr>
            <w:tcW w:w="393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>Ukazovateľ</w:t>
            </w:r>
          </w:p>
        </w:tc>
        <w:tc>
          <w:tcPr>
            <w:tcW w:w="2268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D193E">
              <w:rPr>
                <w:color w:val="000000"/>
                <w:sz w:val="20"/>
                <w:szCs w:val="20"/>
              </w:rPr>
              <w:t>Návrh rozpočtu 2022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F72032">
            <w:pPr>
              <w:rPr>
                <w:sz w:val="20"/>
                <w:szCs w:val="20"/>
              </w:rPr>
            </w:pPr>
            <w:r w:rsidRPr="002D193E">
              <w:rPr>
                <w:sz w:val="20"/>
                <w:szCs w:val="20"/>
              </w:rPr>
              <w:t>Prognóza 2023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F72032">
            <w:pPr>
              <w:rPr>
                <w:sz w:val="20"/>
                <w:szCs w:val="20"/>
              </w:rPr>
            </w:pPr>
            <w:r w:rsidRPr="002D193E">
              <w:rPr>
                <w:sz w:val="20"/>
                <w:szCs w:val="20"/>
              </w:rPr>
              <w:t>Prognóza 2024</w:t>
            </w:r>
          </w:p>
        </w:tc>
      </w:tr>
      <w:tr w:rsidR="000F08DB" w:rsidRPr="002D193E" w:rsidTr="00F72032">
        <w:tc>
          <w:tcPr>
            <w:tcW w:w="393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>Príjmy bez finančných operácií</w:t>
            </w:r>
          </w:p>
        </w:tc>
        <w:tc>
          <w:tcPr>
            <w:tcW w:w="2268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10 086 325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10 415 929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10 836 666</w:t>
            </w:r>
          </w:p>
        </w:tc>
      </w:tr>
      <w:tr w:rsidR="000F08DB" w:rsidRPr="002D193E" w:rsidTr="00F72032">
        <w:tc>
          <w:tcPr>
            <w:tcW w:w="393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 xml:space="preserve">Výdavky </w:t>
            </w:r>
            <w:r>
              <w:rPr>
                <w:color w:val="000000"/>
              </w:rPr>
              <w:t xml:space="preserve">bez </w:t>
            </w:r>
            <w:r w:rsidRPr="002D193E">
              <w:rPr>
                <w:color w:val="000000"/>
              </w:rPr>
              <w:t>finančných operácií</w:t>
            </w:r>
          </w:p>
        </w:tc>
        <w:tc>
          <w:tcPr>
            <w:tcW w:w="2268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12 1</w:t>
            </w:r>
            <w:r w:rsidR="002F7BB8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8 </w:t>
            </w:r>
            <w:r w:rsidR="002F7BB8">
              <w:rPr>
                <w:color w:val="000000"/>
              </w:rPr>
              <w:t>674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9 949 </w:t>
            </w:r>
            <w:r w:rsidR="002F7BB8">
              <w:rPr>
                <w:color w:val="000000"/>
              </w:rPr>
              <w:t>6</w:t>
            </w:r>
            <w:r>
              <w:rPr>
                <w:color w:val="000000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2F7BB8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9 617 973</w:t>
            </w:r>
          </w:p>
        </w:tc>
      </w:tr>
      <w:tr w:rsidR="000F08DB" w:rsidRPr="002D193E" w:rsidTr="00F72032">
        <w:tc>
          <w:tcPr>
            <w:tcW w:w="393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 xml:space="preserve">Výsledok hospodárenia </w:t>
            </w:r>
          </w:p>
        </w:tc>
        <w:tc>
          <w:tcPr>
            <w:tcW w:w="2268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-2 0</w:t>
            </w:r>
            <w:r w:rsidR="002F7BB8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2 </w:t>
            </w:r>
            <w:r w:rsidR="002F7BB8">
              <w:rPr>
                <w:color w:val="000000"/>
              </w:rPr>
              <w:t>349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+ 466 </w:t>
            </w:r>
            <w:r w:rsidR="002F7BB8">
              <w:rPr>
                <w:color w:val="000000"/>
              </w:rPr>
              <w:t>2</w:t>
            </w:r>
            <w:r>
              <w:rPr>
                <w:color w:val="000000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2F7BB8">
              <w:rPr>
                <w:color w:val="000000"/>
              </w:rPr>
              <w:t>1 </w:t>
            </w:r>
            <w:r>
              <w:rPr>
                <w:color w:val="000000"/>
              </w:rPr>
              <w:t>2</w:t>
            </w:r>
            <w:r w:rsidR="002F7BB8">
              <w:rPr>
                <w:color w:val="000000"/>
              </w:rPr>
              <w:t>18 693</w:t>
            </w:r>
          </w:p>
        </w:tc>
      </w:tr>
    </w:tbl>
    <w:p w:rsidR="000F08DB" w:rsidRPr="0070626B" w:rsidRDefault="000F08DB" w:rsidP="000F08DB">
      <w:pPr>
        <w:autoSpaceDE w:val="0"/>
        <w:autoSpaceDN w:val="0"/>
        <w:adjustRightInd w:val="0"/>
        <w:jc w:val="both"/>
        <w:rPr>
          <w:color w:val="000000"/>
        </w:rPr>
      </w:pPr>
      <w:r w:rsidRPr="0070626B">
        <w:rPr>
          <w:color w:val="000000"/>
        </w:rPr>
        <w:lastRenderedPageBreak/>
        <w:t>Kapitálový rozpočet je navrhnutý ako schodkový, pričom schodok je krytý</w:t>
      </w:r>
      <w:r>
        <w:rPr>
          <w:color w:val="000000"/>
        </w:rPr>
        <w:t xml:space="preserve">  prebytkom bežného rozpočtu a prebytkom </w:t>
      </w:r>
      <w:r w:rsidRPr="0070626B">
        <w:rPr>
          <w:color w:val="000000"/>
        </w:rPr>
        <w:t>finančný</w:t>
      </w:r>
      <w:r>
        <w:rPr>
          <w:color w:val="000000"/>
        </w:rPr>
        <w:t>ch</w:t>
      </w:r>
      <w:r w:rsidRPr="0070626B">
        <w:rPr>
          <w:color w:val="000000"/>
        </w:rPr>
        <w:t xml:space="preserve"> operáci</w:t>
      </w:r>
      <w:r>
        <w:rPr>
          <w:color w:val="000000"/>
        </w:rPr>
        <w:t>í</w:t>
      </w:r>
      <w:r w:rsidRPr="0070626B">
        <w:rPr>
          <w:color w:val="000000"/>
        </w:rPr>
        <w:t>.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103"/>
        <w:gridCol w:w="2374"/>
        <w:gridCol w:w="2509"/>
      </w:tblGrid>
      <w:tr w:rsidR="000F08DB" w:rsidRPr="002D193E" w:rsidTr="00F72032">
        <w:tc>
          <w:tcPr>
            <w:tcW w:w="209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D193E">
              <w:rPr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212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D193E">
              <w:rPr>
                <w:color w:val="000000"/>
                <w:sz w:val="22"/>
                <w:szCs w:val="22"/>
              </w:rPr>
              <w:t>Bežný rozpočet 2022</w:t>
            </w:r>
          </w:p>
        </w:tc>
        <w:tc>
          <w:tcPr>
            <w:tcW w:w="2410" w:type="dxa"/>
            <w:shd w:val="clear" w:color="auto" w:fill="auto"/>
          </w:tcPr>
          <w:p w:rsidR="000F08DB" w:rsidRPr="003306B3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306B3">
              <w:rPr>
                <w:color w:val="000000"/>
                <w:sz w:val="20"/>
                <w:szCs w:val="20"/>
              </w:rPr>
              <w:t>Kapitálový rozpočet 2022</w:t>
            </w:r>
          </w:p>
        </w:tc>
        <w:tc>
          <w:tcPr>
            <w:tcW w:w="2551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D193E">
              <w:rPr>
                <w:color w:val="000000"/>
                <w:sz w:val="22"/>
                <w:szCs w:val="22"/>
              </w:rPr>
              <w:t>Finančné operácie 2022</w:t>
            </w:r>
          </w:p>
        </w:tc>
      </w:tr>
      <w:tr w:rsidR="000F08DB" w:rsidRPr="002D193E" w:rsidTr="00F72032">
        <w:tc>
          <w:tcPr>
            <w:tcW w:w="209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>Príjmy</w:t>
            </w:r>
          </w:p>
        </w:tc>
        <w:tc>
          <w:tcPr>
            <w:tcW w:w="212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 xml:space="preserve">10 081 325 </w:t>
            </w:r>
          </w:p>
        </w:tc>
        <w:tc>
          <w:tcPr>
            <w:tcW w:w="241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5 000</w:t>
            </w:r>
          </w:p>
        </w:tc>
        <w:tc>
          <w:tcPr>
            <w:tcW w:w="2551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2 560 000</w:t>
            </w:r>
          </w:p>
        </w:tc>
      </w:tr>
      <w:tr w:rsidR="000F08DB" w:rsidRPr="002D193E" w:rsidTr="00F72032">
        <w:tc>
          <w:tcPr>
            <w:tcW w:w="209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>Výdavky</w:t>
            </w:r>
          </w:p>
        </w:tc>
        <w:tc>
          <w:tcPr>
            <w:tcW w:w="2126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9</w:t>
            </w:r>
            <w:r w:rsidR="002F7BB8">
              <w:rPr>
                <w:color w:val="000000"/>
              </w:rPr>
              <w:t> 577 835</w:t>
            </w:r>
          </w:p>
        </w:tc>
        <w:tc>
          <w:tcPr>
            <w:tcW w:w="241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2 600  839</w:t>
            </w:r>
          </w:p>
        </w:tc>
        <w:tc>
          <w:tcPr>
            <w:tcW w:w="2551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7 534</w:t>
            </w:r>
          </w:p>
        </w:tc>
      </w:tr>
      <w:tr w:rsidR="000F08DB" w:rsidRPr="002D193E" w:rsidTr="00F72032">
        <w:tc>
          <w:tcPr>
            <w:tcW w:w="209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193E">
              <w:rPr>
                <w:color w:val="000000"/>
              </w:rPr>
              <w:t>Výsledok hospodárenia</w:t>
            </w:r>
          </w:p>
        </w:tc>
        <w:tc>
          <w:tcPr>
            <w:tcW w:w="2126" w:type="dxa"/>
            <w:shd w:val="clear" w:color="auto" w:fill="auto"/>
          </w:tcPr>
          <w:p w:rsidR="000F08DB" w:rsidRPr="002D193E" w:rsidRDefault="000F08DB" w:rsidP="002F7B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+   5</w:t>
            </w:r>
            <w:r w:rsidR="002F7BB8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3 </w:t>
            </w:r>
            <w:r w:rsidR="002F7BB8">
              <w:rPr>
                <w:color w:val="000000"/>
              </w:rPr>
              <w:t>490</w:t>
            </w:r>
          </w:p>
        </w:tc>
        <w:tc>
          <w:tcPr>
            <w:tcW w:w="2410" w:type="dxa"/>
            <w:shd w:val="clear" w:color="auto" w:fill="auto"/>
          </w:tcPr>
          <w:p w:rsidR="000F08DB" w:rsidRPr="002D1459" w:rsidRDefault="000F08DB" w:rsidP="00F72032">
            <w:pPr>
              <w:autoSpaceDE w:val="0"/>
              <w:autoSpaceDN w:val="0"/>
              <w:adjustRightInd w:val="0"/>
              <w:jc w:val="both"/>
            </w:pPr>
            <w:r w:rsidRPr="002D1459">
              <w:t>-2 5</w:t>
            </w:r>
            <w:r>
              <w:t>9</w:t>
            </w:r>
            <w:r w:rsidRPr="002D1459">
              <w:t>5 839</w:t>
            </w:r>
          </w:p>
        </w:tc>
        <w:tc>
          <w:tcPr>
            <w:tcW w:w="2551" w:type="dxa"/>
            <w:shd w:val="clear" w:color="auto" w:fill="auto"/>
          </w:tcPr>
          <w:p w:rsidR="000F08DB" w:rsidRPr="002D1459" w:rsidRDefault="003A591B" w:rsidP="00F72032">
            <w:pPr>
              <w:autoSpaceDE w:val="0"/>
              <w:autoSpaceDN w:val="0"/>
              <w:adjustRightInd w:val="0"/>
              <w:jc w:val="both"/>
            </w:pPr>
            <w:r>
              <w:t>+</w:t>
            </w:r>
            <w:r w:rsidR="000F08DB" w:rsidRPr="002D1459">
              <w:t>2 552  466</w:t>
            </w:r>
          </w:p>
        </w:tc>
      </w:tr>
    </w:tbl>
    <w:p w:rsidR="000F08DB" w:rsidRDefault="000F08DB" w:rsidP="000F08DB">
      <w:pPr>
        <w:autoSpaceDE w:val="0"/>
        <w:autoSpaceDN w:val="0"/>
        <w:adjustRightInd w:val="0"/>
        <w:jc w:val="both"/>
        <w:rPr>
          <w:color w:val="000000"/>
        </w:rPr>
      </w:pPr>
    </w:p>
    <w:p w:rsidR="000F08DB" w:rsidRPr="0070626B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C1504D"/>
        </w:rPr>
      </w:pPr>
      <w:r>
        <w:rPr>
          <w:rFonts w:ascii="Times New Roman,Bold" w:hAnsi="Times New Roman,Bold" w:cs="Times New Roman,Bold"/>
          <w:b/>
          <w:bCs/>
          <w:color w:val="C1504D"/>
        </w:rPr>
        <w:t>Rozpočtovanie príjmov</w:t>
      </w:r>
    </w:p>
    <w:p w:rsidR="000F08DB" w:rsidRPr="0070626B" w:rsidRDefault="000F08DB" w:rsidP="000F08DB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C1504D"/>
        </w:rPr>
      </w:pPr>
    </w:p>
    <w:p w:rsidR="000F08DB" w:rsidRPr="005B6EC0" w:rsidRDefault="000F08DB" w:rsidP="000F08DB">
      <w:pPr>
        <w:autoSpaceDE w:val="0"/>
        <w:autoSpaceDN w:val="0"/>
        <w:adjustRightInd w:val="0"/>
        <w:jc w:val="both"/>
        <w:rPr>
          <w:i/>
          <w:color w:val="000000"/>
          <w:u w:val="single"/>
        </w:rPr>
      </w:pPr>
      <w:r w:rsidRPr="005B6EC0">
        <w:rPr>
          <w:i/>
          <w:color w:val="000000"/>
        </w:rPr>
        <w:t xml:space="preserve">Príjmy mesta </w:t>
      </w:r>
      <w:r w:rsidR="00D65ACE">
        <w:rPr>
          <w:i/>
          <w:color w:val="000000"/>
        </w:rPr>
        <w:t xml:space="preserve">sa očakávajú vo výške 10 086 325 eur, ktoré </w:t>
      </w:r>
      <w:r w:rsidRPr="005B6EC0">
        <w:rPr>
          <w:i/>
          <w:color w:val="000000"/>
        </w:rPr>
        <w:t>tvoria daňové príjmy, nedaňové príjmy, granty a transfery. Podiel daňových príjmov na celkových príjmov bez finančných operácií príjmových predstavujú v roku 2022 úroveň cca 75%.</w:t>
      </w:r>
      <w:r w:rsidRPr="005B6EC0">
        <w:rPr>
          <w:i/>
          <w:color w:val="000000"/>
          <w:u w:val="single"/>
        </w:rPr>
        <w:t xml:space="preserve">       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color w:val="000000"/>
          <w:u w:val="single"/>
        </w:rPr>
      </w:pPr>
    </w:p>
    <w:p w:rsidR="000F08DB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color w:val="000000"/>
          <w:u w:val="single"/>
        </w:rPr>
        <w:t xml:space="preserve">Daňové príjmy </w:t>
      </w:r>
      <w:r>
        <w:rPr>
          <w:color w:val="000000"/>
        </w:rPr>
        <w:t xml:space="preserve"> </w:t>
      </w:r>
      <w:r w:rsidRPr="004323FA">
        <w:rPr>
          <w:i/>
          <w:color w:val="000000"/>
        </w:rPr>
        <w:t xml:space="preserve">sa očakávajú v roku 2022 v sume  6 699 734 eur  , ktoré mesto získa z výnosu dane z príjmov platenej fyzickými osobami, z výnosu dane z nehnuteľnosti a z výnosu dane za špecifické služby. </w:t>
      </w:r>
    </w:p>
    <w:p w:rsidR="000F08DB" w:rsidRPr="008F62B5" w:rsidRDefault="000F08DB" w:rsidP="000F08DB">
      <w:pPr>
        <w:autoSpaceDE w:val="0"/>
        <w:autoSpaceDN w:val="0"/>
        <w:adjustRightInd w:val="0"/>
        <w:jc w:val="both"/>
        <w:rPr>
          <w:i/>
          <w:color w:val="000000"/>
          <w:u w:val="single"/>
        </w:rPr>
      </w:pPr>
      <w:r w:rsidRPr="008F62B5">
        <w:rPr>
          <w:i/>
        </w:rPr>
        <w:t xml:space="preserve">V zmysle najaktuálnejších prognóz MFSR sa výnos dane z príjmu fyzických osôb  očakáva vo výške </w:t>
      </w:r>
      <w:r w:rsidRPr="008F62B5">
        <w:rPr>
          <w:i/>
          <w:color w:val="000000"/>
        </w:rPr>
        <w:t>5 930 661 eur.</w:t>
      </w:r>
      <w:r w:rsidRPr="008F62B5">
        <w:rPr>
          <w:i/>
        </w:rPr>
        <w:t xml:space="preserve"> Uvedená suma nie je fixne daná, je to prognóza a preto je tu zohľadnené i riziko z nenaplnenia, čo umožňuje navýšiť alebo znížiť ju podľa vývoja skutočnosti v priebehu roku 2022. </w:t>
      </w:r>
      <w:r w:rsidRPr="008F62B5">
        <w:rPr>
          <w:i/>
          <w:color w:val="000000"/>
        </w:rPr>
        <w:t xml:space="preserve">Výnos je ovplyvnený vývojom zamestnanosti, ako aj pretrvávajúcou situáciou spôsobenou pandémie COVID-19. </w:t>
      </w:r>
    </w:p>
    <w:p w:rsidR="000F08DB" w:rsidRPr="008F62B5" w:rsidRDefault="000F08DB" w:rsidP="000F08DB">
      <w:pPr>
        <w:jc w:val="both"/>
        <w:rPr>
          <w:i/>
          <w:color w:val="000000"/>
        </w:rPr>
      </w:pPr>
      <w:r w:rsidRPr="008F62B5">
        <w:rPr>
          <w:i/>
          <w:color w:val="000000"/>
        </w:rPr>
        <w:t>Ostatné dane a poplatok za komunálne odpady sa navrhujú na úrovni očakávanej skutočnosti v roku 2021. Mierny pokles sa stále očakáva u dane za ubytovanie a za užívanie verejného priestranstva  z dôvodu  pretrvávajúcej situácie spôsobenou pandémie COVID-19 a jej prijatými opatreniami NR SR v roku 2022.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color w:val="000000"/>
        </w:rPr>
      </w:pPr>
    </w:p>
    <w:p w:rsidR="000F08DB" w:rsidRPr="00425716" w:rsidRDefault="000F08DB" w:rsidP="000F08DB">
      <w:pPr>
        <w:jc w:val="both"/>
        <w:rPr>
          <w:i/>
          <w:color w:val="000000"/>
        </w:rPr>
      </w:pPr>
      <w:r w:rsidRPr="009C7AF3">
        <w:rPr>
          <w:i/>
          <w:color w:val="000000"/>
          <w:u w:val="single"/>
        </w:rPr>
        <w:t>Nedaňové príjmy</w:t>
      </w:r>
      <w:r w:rsidRPr="009C7AF3">
        <w:rPr>
          <w:i/>
          <w:color w:val="000000"/>
        </w:rPr>
        <w:t xml:space="preserve"> na rok 2022 sa rozpočtujú vo výške 90</w:t>
      </w:r>
      <w:r>
        <w:rPr>
          <w:i/>
          <w:color w:val="000000"/>
        </w:rPr>
        <w:t>3</w:t>
      </w:r>
      <w:r w:rsidRPr="009C7AF3">
        <w:rPr>
          <w:i/>
          <w:color w:val="000000"/>
        </w:rPr>
        <w:t> 500 eur. Ide najmä o príjmy z podnikania a vlastníctva majetku, z nájomného, z administratívnych poplatkov a z iných nedaňových príjmov</w:t>
      </w:r>
      <w:r>
        <w:rPr>
          <w:i/>
          <w:color w:val="000000"/>
        </w:rPr>
        <w:t>, ktorých podstatnú časť tvoria vlastné príjmy rozpočtových organizácií</w:t>
      </w:r>
      <w:r w:rsidRPr="009C7AF3">
        <w:rPr>
          <w:i/>
          <w:color w:val="000000"/>
        </w:rPr>
        <w:t xml:space="preserve">. </w:t>
      </w:r>
      <w:r>
        <w:rPr>
          <w:i/>
          <w:color w:val="000000"/>
        </w:rPr>
        <w:t>Zvýšené p</w:t>
      </w:r>
      <w:r w:rsidRPr="0070626B">
        <w:rPr>
          <w:i/>
          <w:color w:val="000000"/>
        </w:rPr>
        <w:t>ríjmy</w:t>
      </w:r>
      <w:r>
        <w:rPr>
          <w:i/>
          <w:color w:val="000000"/>
        </w:rPr>
        <w:t xml:space="preserve"> sa očakávajú </w:t>
      </w:r>
      <w:r w:rsidRPr="0070626B">
        <w:rPr>
          <w:i/>
          <w:color w:val="000000"/>
        </w:rPr>
        <w:t xml:space="preserve"> z</w:t>
      </w:r>
      <w:r>
        <w:rPr>
          <w:i/>
          <w:color w:val="000000"/>
        </w:rPr>
        <w:t xml:space="preserve"> nájmu pozemkov a prenájmu priestorov  v súvislosti so schváleným zvýšením nájmu za m2 a zvýšeným príjmom za porušenie predpisov na úseku stavebného úradu v Námestove. Ostatné nedaňové príjmy sa očakávajú na úrovni roku 2021. </w:t>
      </w:r>
    </w:p>
    <w:p w:rsidR="000F08DB" w:rsidRPr="009C7AF3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K</w:t>
      </w:r>
      <w:r w:rsidRPr="009C7AF3">
        <w:rPr>
          <w:i/>
          <w:color w:val="000000"/>
        </w:rPr>
        <w:t xml:space="preserve">apitálový príjem z predaja majetku </w:t>
      </w:r>
      <w:r>
        <w:rPr>
          <w:i/>
          <w:color w:val="000000"/>
        </w:rPr>
        <w:t xml:space="preserve">sa predpokladá </w:t>
      </w:r>
      <w:r w:rsidRPr="009C7AF3">
        <w:rPr>
          <w:i/>
          <w:color w:val="000000"/>
        </w:rPr>
        <w:t xml:space="preserve">vo výške 5 000 eur. </w:t>
      </w:r>
    </w:p>
    <w:p w:rsidR="000F08DB" w:rsidRPr="009C7AF3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</w:p>
    <w:p w:rsidR="000F08DB" w:rsidRDefault="000F08DB" w:rsidP="000F08DB">
      <w:pPr>
        <w:jc w:val="both"/>
        <w:rPr>
          <w:i/>
          <w:color w:val="000000"/>
        </w:rPr>
      </w:pPr>
      <w:r w:rsidRPr="009B19BB">
        <w:rPr>
          <w:color w:val="000000"/>
          <w:u w:val="single"/>
        </w:rPr>
        <w:t>Granty a transfery</w:t>
      </w:r>
      <w:r>
        <w:rPr>
          <w:b/>
          <w:color w:val="000000"/>
        </w:rPr>
        <w:t xml:space="preserve"> </w:t>
      </w:r>
      <w:r w:rsidRPr="009B19BB">
        <w:rPr>
          <w:i/>
          <w:color w:val="000000"/>
        </w:rPr>
        <w:t>sa očakávajú vo výške 2 478 091 eur</w:t>
      </w:r>
      <w:r>
        <w:rPr>
          <w:i/>
          <w:color w:val="000000"/>
        </w:rPr>
        <w:t xml:space="preserve">. </w:t>
      </w:r>
      <w:r w:rsidRPr="009B19BB">
        <w:rPr>
          <w:i/>
          <w:color w:val="000000"/>
        </w:rPr>
        <w:t>Formou transferov zo štátneho rozpočtu sa budú financovať kompetencie preneseného výkonu štátnej správy</w:t>
      </w:r>
      <w:r>
        <w:rPr>
          <w:i/>
          <w:color w:val="000000"/>
        </w:rPr>
        <w:t>, z dotácie od</w:t>
      </w:r>
      <w:r w:rsidRPr="009B19BB">
        <w:rPr>
          <w:i/>
          <w:color w:val="000000"/>
        </w:rPr>
        <w:t xml:space="preserve"> iných subjektov verejnej správy</w:t>
      </w:r>
      <w:r>
        <w:rPr>
          <w:i/>
          <w:color w:val="000000"/>
        </w:rPr>
        <w:t xml:space="preserve"> bude spolufinancované CVČ Maják</w:t>
      </w:r>
      <w:r w:rsidRPr="009B19BB">
        <w:rPr>
          <w:i/>
          <w:color w:val="000000"/>
        </w:rPr>
        <w:t>, príspevky obcí na spoločný stavebný úrad</w:t>
      </w:r>
      <w:r>
        <w:rPr>
          <w:i/>
          <w:color w:val="000000"/>
        </w:rPr>
        <w:t xml:space="preserve"> sú rozpočtované na stavebný úrad v Námestove.</w:t>
      </w:r>
    </w:p>
    <w:p w:rsidR="000F08DB" w:rsidRPr="0070626B" w:rsidRDefault="000F08DB" w:rsidP="000F08DB">
      <w:pPr>
        <w:jc w:val="both"/>
        <w:rPr>
          <w:i/>
          <w:color w:val="000000"/>
        </w:rPr>
      </w:pPr>
      <w:r w:rsidRPr="007B4687">
        <w:rPr>
          <w:i/>
          <w:color w:val="000000"/>
        </w:rPr>
        <w:t>Spolufinancovanie výdavkov na projekty financované zo ŠR na modernizáciu dopravného značenia vrátane svetelnej signalizácie a príjazdovej komunikácie k </w:t>
      </w:r>
      <w:proofErr w:type="spellStart"/>
      <w:r w:rsidRPr="007B4687">
        <w:rPr>
          <w:i/>
          <w:color w:val="000000"/>
        </w:rPr>
        <w:t>Skate</w:t>
      </w:r>
      <w:proofErr w:type="spellEnd"/>
      <w:r w:rsidRPr="007B4687">
        <w:rPr>
          <w:i/>
          <w:color w:val="000000"/>
        </w:rPr>
        <w:t xml:space="preserve"> parku sa  zohľadnia v kapitálových transferov v rozpočte na rok 2022 po ich odsúhlasení príslušným ministerstvom.</w:t>
      </w:r>
    </w:p>
    <w:p w:rsidR="000F08DB" w:rsidRDefault="000F08DB" w:rsidP="000F08DB">
      <w:pPr>
        <w:jc w:val="both"/>
        <w:rPr>
          <w:i/>
          <w:color w:val="000000"/>
        </w:rPr>
      </w:pPr>
    </w:p>
    <w:p w:rsidR="000F08DB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C1504D"/>
        </w:rPr>
      </w:pPr>
      <w:r>
        <w:rPr>
          <w:rFonts w:ascii="Times New Roman,Bold" w:hAnsi="Times New Roman,Bold" w:cs="Times New Roman,Bold"/>
          <w:b/>
          <w:bCs/>
          <w:color w:val="C1504D"/>
        </w:rPr>
        <w:t>Rozpočtovanie  výdavkov</w:t>
      </w:r>
    </w:p>
    <w:p w:rsidR="006F7067" w:rsidRPr="0070626B" w:rsidRDefault="006F7067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C1504D"/>
        </w:rPr>
      </w:pPr>
    </w:p>
    <w:p w:rsidR="000F08DB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 </w:t>
      </w:r>
      <w:r w:rsidRPr="000827C0">
        <w:rPr>
          <w:i/>
          <w:color w:val="000000"/>
        </w:rPr>
        <w:t xml:space="preserve">V rámci návrhu rozpočtu sa rozpočtujú výdavky mesta celkom vo výške  </w:t>
      </w:r>
      <w:r>
        <w:rPr>
          <w:i/>
          <w:color w:val="000000"/>
        </w:rPr>
        <w:t>12</w:t>
      </w:r>
      <w:r w:rsidR="006F7067">
        <w:rPr>
          <w:i/>
          <w:color w:val="000000"/>
        </w:rPr>
        <w:t> 1</w:t>
      </w:r>
      <w:r w:rsidR="002F7BB8">
        <w:rPr>
          <w:i/>
          <w:color w:val="000000"/>
        </w:rPr>
        <w:t>7</w:t>
      </w:r>
      <w:r w:rsidR="006F7067">
        <w:rPr>
          <w:i/>
          <w:color w:val="000000"/>
        </w:rPr>
        <w:t>8 </w:t>
      </w:r>
      <w:r w:rsidR="002F7BB8">
        <w:rPr>
          <w:i/>
          <w:color w:val="000000"/>
        </w:rPr>
        <w:t>674</w:t>
      </w:r>
      <w:r w:rsidR="006F7067">
        <w:rPr>
          <w:i/>
          <w:color w:val="000000"/>
        </w:rPr>
        <w:t xml:space="preserve"> </w:t>
      </w:r>
      <w:r>
        <w:rPr>
          <w:i/>
          <w:color w:val="000000"/>
        </w:rPr>
        <w:t>eur.</w:t>
      </w:r>
    </w:p>
    <w:p w:rsidR="000F08DB" w:rsidRPr="000827C0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Bežné výdavky v porovnaní so schváleným rozpočtom na  rok 2021 sa navyšujú o cca 5,</w:t>
      </w:r>
      <w:r w:rsidR="00C95328">
        <w:rPr>
          <w:i/>
          <w:color w:val="000000"/>
        </w:rPr>
        <w:t>3</w:t>
      </w:r>
      <w:r>
        <w:rPr>
          <w:i/>
          <w:color w:val="000000"/>
        </w:rPr>
        <w:t>5%.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 xml:space="preserve">V návrhu rozpočtu sa v súlade so zákonom o štátnom rozpočte rozpočtuje rast  platov zamestnancov o 2,8% , navýšenie je na úseku verejnej služby  z dôvodu zvýšenia </w:t>
      </w:r>
      <w:r w:rsidRPr="0035793C">
        <w:rPr>
          <w:i/>
          <w:color w:val="000000"/>
        </w:rPr>
        <w:t xml:space="preserve">priemernej </w:t>
      </w:r>
      <w:r w:rsidRPr="0035793C">
        <w:rPr>
          <w:i/>
          <w:color w:val="000000"/>
        </w:rPr>
        <w:lastRenderedPageBreak/>
        <w:t>mzdy a minimálnej mzdy</w:t>
      </w:r>
      <w:r>
        <w:rPr>
          <w:i/>
          <w:color w:val="000000"/>
        </w:rPr>
        <w:t xml:space="preserve">, ktorá ovplyvni nárast platu  kontrolóra mesta, primátora a neadministratívnych pracovníkov. Na úseku verejného poriadku a bezpečnosti je navýšenie platov o 35%, na základe schválenia zvýšenia stavu členov mestskej polície na 6 členov mestským zastupiteľstvom.  </w:t>
      </w:r>
    </w:p>
    <w:p w:rsidR="006F7067" w:rsidRDefault="000F08DB" w:rsidP="000F08DB">
      <w:pPr>
        <w:jc w:val="both"/>
        <w:rPr>
          <w:i/>
          <w:color w:val="000000"/>
        </w:rPr>
      </w:pPr>
      <w:r>
        <w:rPr>
          <w:i/>
          <w:color w:val="000000"/>
        </w:rPr>
        <w:t>Rozpočtové výdavky na tovary a služby sa navyšujú na položku tepelná energia z dôvodu nákupu zemného plynu v porovnaní s rokom 2021 o 65%.</w:t>
      </w:r>
      <w:r w:rsidR="006F7067">
        <w:rPr>
          <w:i/>
          <w:color w:val="000000"/>
        </w:rPr>
        <w:t xml:space="preserve"> V bežnom rozpočte je naplánovaná oprava ul. Kamenická vo výške 55 000 eur a regenerácia vnútro blokov pri BD 65,66,67 ul. ČK vo výške 80 000 eur. </w:t>
      </w:r>
    </w:p>
    <w:p w:rsidR="006F7067" w:rsidRDefault="006F7067" w:rsidP="000F08D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Mesto plánuje pokračovať s návrhom riešenia „Námestovské nábrežie – dostavba a verejný priestor urbanistickou štúdiou transformácie Nábrežia vo výške 36 000 eur. </w:t>
      </w:r>
    </w:p>
    <w:p w:rsidR="000F08DB" w:rsidRPr="00DB65A0" w:rsidRDefault="000F08DB" w:rsidP="000F08DB">
      <w:pPr>
        <w:jc w:val="both"/>
        <w:rPr>
          <w:i/>
          <w:color w:val="000000"/>
        </w:rPr>
      </w:pPr>
      <w:r w:rsidRPr="00DB65A0">
        <w:rPr>
          <w:i/>
          <w:color w:val="000000"/>
        </w:rPr>
        <w:t xml:space="preserve">Rozpočtované výdavky </w:t>
      </w:r>
      <w:r>
        <w:rPr>
          <w:i/>
          <w:color w:val="000000"/>
        </w:rPr>
        <w:t xml:space="preserve">na originálne školské  kompetencie sú rozpočtované v predpokladanom objeme  3 565 065 eur, ktoré </w:t>
      </w:r>
      <w:r w:rsidRPr="00DB65A0">
        <w:rPr>
          <w:i/>
          <w:color w:val="000000"/>
        </w:rPr>
        <w:t>sú financované z vlastných príjmov samosprávy, ktorých podstatnú časť predstavuje podiel na dani z príjmov fyzických osôb.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O</w:t>
      </w:r>
      <w:r w:rsidRPr="0070626B">
        <w:rPr>
          <w:i/>
          <w:color w:val="000000"/>
        </w:rPr>
        <w:t>riginálne</w:t>
      </w:r>
      <w:r>
        <w:rPr>
          <w:i/>
          <w:color w:val="000000"/>
        </w:rPr>
        <w:t xml:space="preserve"> školské </w:t>
      </w:r>
      <w:r w:rsidRPr="0070626B">
        <w:rPr>
          <w:i/>
          <w:color w:val="000000"/>
        </w:rPr>
        <w:t xml:space="preserve"> kompetencie </w:t>
      </w:r>
      <w:r>
        <w:rPr>
          <w:i/>
          <w:color w:val="000000"/>
        </w:rPr>
        <w:t xml:space="preserve">pre materské školy v predpokladanom objeme sú napočítané na úrovni  jednotkového koeficientu vo výške 94 na jedného prepočítaného žiaka k 15.09.2021. </w:t>
      </w:r>
    </w:p>
    <w:p w:rsidR="000F08DB" w:rsidRPr="004F2BD6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O</w:t>
      </w:r>
      <w:r w:rsidRPr="0070626B">
        <w:rPr>
          <w:i/>
          <w:color w:val="000000"/>
        </w:rPr>
        <w:t xml:space="preserve">riginálne kompetencie </w:t>
      </w:r>
      <w:r>
        <w:rPr>
          <w:i/>
          <w:color w:val="000000"/>
        </w:rPr>
        <w:t xml:space="preserve">pre základné umelecké školy v zriaďovateľskej pôsobnosti mesta a súkromných zriaďovateľov  v predpokladanom objeme sú napočítané na úrovni jednotkového </w:t>
      </w:r>
      <w:r w:rsidRPr="004F2BD6">
        <w:rPr>
          <w:i/>
          <w:color w:val="000000"/>
        </w:rPr>
        <w:t>koeficientu vo výške 92 na jedného prepočítaného žiaka k 15.09.2021.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 w:rsidRPr="004F2BD6">
        <w:rPr>
          <w:i/>
          <w:color w:val="000000"/>
        </w:rPr>
        <w:t xml:space="preserve">Originálne kompetencie pre školské </w:t>
      </w:r>
      <w:r>
        <w:rPr>
          <w:i/>
          <w:color w:val="000000"/>
        </w:rPr>
        <w:t xml:space="preserve">kluby detí </w:t>
      </w:r>
      <w:r w:rsidRPr="004F2BD6">
        <w:rPr>
          <w:i/>
          <w:color w:val="000000"/>
        </w:rPr>
        <w:t>v zriaďovateľskej pôsobnosti mesta a neštátneho zriaďovateľa v predpokladanom objeme sú napočítané na</w:t>
      </w:r>
      <w:r>
        <w:rPr>
          <w:i/>
          <w:color w:val="000000"/>
        </w:rPr>
        <w:t xml:space="preserve"> úrovni jednotkového koeficientu vo výške  93 na jedného prepočítaného žiaka k 15.09.2021.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 w:rsidRPr="004F2BD6">
        <w:rPr>
          <w:i/>
          <w:color w:val="000000"/>
        </w:rPr>
        <w:t xml:space="preserve">Originálne kompetencie pre </w:t>
      </w:r>
      <w:r>
        <w:rPr>
          <w:i/>
          <w:color w:val="000000"/>
        </w:rPr>
        <w:t xml:space="preserve">zariadenia školského stravovania  </w:t>
      </w:r>
      <w:r w:rsidRPr="004F2BD6">
        <w:rPr>
          <w:i/>
          <w:color w:val="000000"/>
        </w:rPr>
        <w:t>v zriaďovateľskej pôsobnosti mesta v predpokladanom objeme sú napočítané na</w:t>
      </w:r>
      <w:r>
        <w:rPr>
          <w:i/>
          <w:color w:val="000000"/>
        </w:rPr>
        <w:t xml:space="preserve"> úrovni jednotkového koeficientu vo výške  95 na jedného prepočítaného žiaka k 15.09.2021.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Normatívne a nenormatívne príspevky na prenesený výkon štátnej správy sú financované zo štátneho rozpočtu, ktoré sú poukázané na školy, ktorých je mesto zriaďovateľom.</w:t>
      </w:r>
    </w:p>
    <w:p w:rsidR="000F08DB" w:rsidRPr="002D193E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  <w:color w:val="000000"/>
        </w:rPr>
      </w:pPr>
    </w:p>
    <w:p w:rsidR="000F08DB" w:rsidRPr="002D193E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  <w:color w:val="000000"/>
        </w:rPr>
      </w:pPr>
      <w:r w:rsidRPr="002D193E">
        <w:rPr>
          <w:rFonts w:ascii="Times New Roman,Bold" w:hAnsi="Times New Roman,Bold" w:cs="Times New Roman,Bold"/>
          <w:bCs/>
          <w:i/>
          <w:color w:val="000000"/>
        </w:rPr>
        <w:t>Vývoj jednotlivých výdavkov podľa jednotlivých úsekov činnosti v rokoch 2022 – 2024 sa predpokladá nasledovne:</w:t>
      </w:r>
    </w:p>
    <w:p w:rsidR="000F08DB" w:rsidRPr="002D193E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1230"/>
        <w:gridCol w:w="1396"/>
        <w:gridCol w:w="1269"/>
        <w:gridCol w:w="1503"/>
      </w:tblGrid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</w:rPr>
              <w:t>Funkcia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</w:rPr>
              <w:t>OS 2021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</w:rPr>
              <w:t>Návrh rozpočtu  rok 2022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</w:rPr>
              <w:t>Prognóza rok 2023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</w:rPr>
              <w:t>Prognóza rok 2024</w:t>
            </w:r>
          </w:p>
        </w:tc>
      </w:tr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  <w:t>01Všeobecné verejné služby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1 030 678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1 008 146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1 138 416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979 416</w:t>
            </w:r>
          </w:p>
        </w:tc>
      </w:tr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  <w:t>03 Verejný poriadok a bezpečnosť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192 119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211 996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193 248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193 248</w:t>
            </w:r>
          </w:p>
        </w:tc>
      </w:tr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  <w:t>04 Doprava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1 291 581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725 337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311 937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312 397</w:t>
            </w:r>
          </w:p>
        </w:tc>
      </w:tr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  <w:t>05 Ochrana životného prostredia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325 643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C95328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311 743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C95328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50</w:t>
            </w:r>
            <w:r w:rsidR="00C95328">
              <w:rPr>
                <w:rFonts w:ascii="Times New Roman,Bold" w:hAnsi="Times New Roman,Bold" w:cs="Times New Roman,Bold"/>
                <w:bCs/>
                <w:i/>
                <w:color w:val="000000"/>
              </w:rPr>
              <w:t>9</w:t>
            </w: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 xml:space="preserve"> </w:t>
            </w:r>
            <w:r w:rsidR="00C95328">
              <w:rPr>
                <w:rFonts w:ascii="Times New Roman,Bold" w:hAnsi="Times New Roman,Bold" w:cs="Times New Roman,Bold"/>
                <w:bCs/>
                <w:i/>
                <w:color w:val="000000"/>
              </w:rPr>
              <w:t>3</w:t>
            </w: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13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0F08DB" w:rsidP="00C95328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46</w:t>
            </w:r>
            <w:r w:rsidR="00C95328">
              <w:rPr>
                <w:rFonts w:ascii="Times New Roman,Bold" w:hAnsi="Times New Roman,Bold" w:cs="Times New Roman,Bold"/>
                <w:bCs/>
                <w:i/>
                <w:color w:val="000000"/>
              </w:rPr>
              <w:t>9</w:t>
            </w: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 xml:space="preserve"> </w:t>
            </w:r>
            <w:r w:rsidR="00C95328">
              <w:rPr>
                <w:rFonts w:ascii="Times New Roman,Bold" w:hAnsi="Times New Roman,Bold" w:cs="Times New Roman,Bold"/>
                <w:bCs/>
                <w:i/>
                <w:color w:val="000000"/>
              </w:rPr>
              <w:t>3</w:t>
            </w: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13</w:t>
            </w:r>
          </w:p>
        </w:tc>
      </w:tr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  <w:t>06 Bývanie a občianska vybavenosť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543 236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2 037 790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569 777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419 089</w:t>
            </w:r>
          </w:p>
        </w:tc>
      </w:tr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  <w:t>08 Rekreácia, kultúra a náboženstvo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453 196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540 573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274 093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244 421</w:t>
            </w:r>
          </w:p>
        </w:tc>
      </w:tr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  <w:t>09 Vzdelávanie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5 988 920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6 527 954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6 139 910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C95328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6 187 120</w:t>
            </w:r>
          </w:p>
        </w:tc>
      </w:tr>
      <w:tr w:rsidR="000F08DB" w:rsidRPr="002D193E" w:rsidTr="003A591B">
        <w:tc>
          <w:tcPr>
            <w:tcW w:w="3664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</w:pPr>
            <w:r w:rsidRPr="002D193E">
              <w:rPr>
                <w:rFonts w:ascii="Times New Roman,Bold" w:hAnsi="Times New Roman,Bold" w:cs="Times New Roman,Bold"/>
                <w:bCs/>
                <w:i/>
                <w:color w:val="000000"/>
                <w:sz w:val="22"/>
                <w:szCs w:val="22"/>
              </w:rPr>
              <w:t>10 Sociálne zabezpečenie</w:t>
            </w:r>
          </w:p>
        </w:tc>
        <w:tc>
          <w:tcPr>
            <w:tcW w:w="1230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776 750</w:t>
            </w:r>
          </w:p>
        </w:tc>
        <w:tc>
          <w:tcPr>
            <w:tcW w:w="1396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822 669</w:t>
            </w:r>
          </w:p>
        </w:tc>
        <w:tc>
          <w:tcPr>
            <w:tcW w:w="1269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812 969</w:t>
            </w:r>
          </w:p>
        </w:tc>
        <w:tc>
          <w:tcPr>
            <w:tcW w:w="1503" w:type="dxa"/>
            <w:shd w:val="clear" w:color="auto" w:fill="auto"/>
          </w:tcPr>
          <w:p w:rsidR="000F08DB" w:rsidRPr="002D193E" w:rsidRDefault="000F08DB" w:rsidP="00F7203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i/>
                <w:color w:val="000000"/>
              </w:rPr>
            </w:pPr>
            <w:r>
              <w:rPr>
                <w:rFonts w:ascii="Times New Roman,Bold" w:hAnsi="Times New Roman,Bold" w:cs="Times New Roman,Bold"/>
                <w:bCs/>
                <w:i/>
                <w:color w:val="000000"/>
              </w:rPr>
              <w:t>812 969</w:t>
            </w:r>
          </w:p>
        </w:tc>
      </w:tr>
    </w:tbl>
    <w:p w:rsidR="000F08DB" w:rsidRPr="002D193E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  <w:color w:val="000000"/>
        </w:rPr>
      </w:pPr>
    </w:p>
    <w:p w:rsidR="000F08DB" w:rsidRPr="002D193E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  <w:color w:val="000000"/>
        </w:rPr>
      </w:pPr>
      <w:r w:rsidRPr="002D193E">
        <w:rPr>
          <w:rFonts w:ascii="Times New Roman,Bold" w:hAnsi="Times New Roman,Bold" w:cs="Times New Roman,Bold"/>
          <w:bCs/>
          <w:i/>
          <w:color w:val="000000"/>
        </w:rPr>
        <w:t>Kapitálové výdavky sa na rok 2022 rozpočtujú vo výške</w:t>
      </w:r>
      <w:r>
        <w:rPr>
          <w:rFonts w:ascii="Times New Roman,Bold" w:hAnsi="Times New Roman,Bold" w:cs="Times New Roman,Bold"/>
          <w:bCs/>
          <w:i/>
          <w:color w:val="000000"/>
        </w:rPr>
        <w:t xml:space="preserve"> 2 600 839eur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.  Finančné krytie kapitálových výdavkov sa navrhuje prebytkom bežného rozpočtu a z prostriedkov rezervného fondu vo výške </w:t>
      </w:r>
      <w:r>
        <w:rPr>
          <w:rFonts w:ascii="Times New Roman,Bold" w:hAnsi="Times New Roman,Bold" w:cs="Times New Roman,Bold"/>
          <w:bCs/>
          <w:i/>
          <w:color w:val="000000"/>
        </w:rPr>
        <w:t>2 560 00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>0 eur.</w:t>
      </w:r>
    </w:p>
    <w:p w:rsidR="000F08DB" w:rsidRDefault="000F08DB" w:rsidP="000F08D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Mesto v roku 2021 začalo s odkupovaním podielov vlastníkov pozemkov v areáli ZŠ Komenského podľa ÚP, v tomto trende ide pokračovať aj v roku 2022, kde sú na to vyčlenené financie vo výške 55 000€. Na rekonštrukciu nebytových priestorov Komenského 509, nakoľko </w:t>
      </w:r>
      <w:r>
        <w:rPr>
          <w:i/>
          <w:color w:val="000000"/>
        </w:rPr>
        <w:lastRenderedPageBreak/>
        <w:t>v roku 2021 bol  ukončený nájom  s nájomcom Dobrota s.r.o. finančné prostriedky sa zaraďujú vo výške 25 000 eur.</w:t>
      </w:r>
    </w:p>
    <w:p w:rsidR="000F08DB" w:rsidRDefault="000F08DB" w:rsidP="000F08D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Do kapitálového rozpočtu na rok 2022 boli zaradené rekonštrukcie ul. Lúčna vo výške 80 000 eur, ul. Rázusová vo výške 80 000 eur, </w:t>
      </w:r>
      <w:proofErr w:type="spellStart"/>
      <w:r>
        <w:rPr>
          <w:i/>
          <w:color w:val="000000"/>
        </w:rPr>
        <w:t>Slanická</w:t>
      </w:r>
      <w:proofErr w:type="spellEnd"/>
      <w:r>
        <w:rPr>
          <w:i/>
          <w:color w:val="000000"/>
        </w:rPr>
        <w:t xml:space="preserve"> časť Hlinisko vo výške 160 000 eur, rekonštrukcia ul. 9. Mája vo výške 65 000eur, rekonštrukcia chodníkov na ul. 1. Mája vo výške 60 000 eur a revitalizácia plôch na ul. Bernolákova vo výške 50 000 eur. Na osadenie lavičiek a ostatného </w:t>
      </w:r>
      <w:proofErr w:type="spellStart"/>
      <w:r>
        <w:rPr>
          <w:i/>
          <w:color w:val="000000"/>
        </w:rPr>
        <w:t>mobiliáru</w:t>
      </w:r>
      <w:proofErr w:type="spellEnd"/>
      <w:r>
        <w:rPr>
          <w:i/>
          <w:color w:val="000000"/>
        </w:rPr>
        <w:t xml:space="preserve"> v rámci novo vybudovaného  Náučného chodníka bolo vyčlenených 10 000 eur. V rámci projektových dokumentácií je zahrnuté prepojenie sídliska Brehy so štátnou  cestou 1/78 v zmysle </w:t>
      </w:r>
      <w:proofErr w:type="spellStart"/>
      <w:r>
        <w:rPr>
          <w:i/>
          <w:color w:val="000000"/>
        </w:rPr>
        <w:t>Generelu</w:t>
      </w:r>
      <w:proofErr w:type="spellEnd"/>
      <w:r>
        <w:rPr>
          <w:i/>
          <w:color w:val="000000"/>
        </w:rPr>
        <w:t xml:space="preserve"> dopravy vo výške 20 000 eur.</w:t>
      </w:r>
    </w:p>
    <w:p w:rsidR="000F08DB" w:rsidRDefault="000F08DB" w:rsidP="000F08D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V rámci odpadového hospodárstva a starostlivosti o životné prostredie je v rozpočte vyčlenených 25 000 eur na vybudovanie  kontajnerových státi na ul. Severná, Komenského a Slnečná. </w:t>
      </w:r>
    </w:p>
    <w:p w:rsidR="000F08DB" w:rsidRDefault="000F08DB" w:rsidP="000F08DB">
      <w:pPr>
        <w:jc w:val="both"/>
        <w:rPr>
          <w:rFonts w:ascii="Times New Roman,Bold" w:hAnsi="Times New Roman,Bold" w:cs="Times New Roman,Bold"/>
          <w:bCs/>
          <w:i/>
          <w:color w:val="FF0000"/>
        </w:rPr>
      </w:pPr>
      <w:r>
        <w:rPr>
          <w:i/>
          <w:color w:val="000000"/>
        </w:rPr>
        <w:t xml:space="preserve">Na realizáciu inžinierskych sieti v lokalite </w:t>
      </w:r>
      <w:proofErr w:type="spellStart"/>
      <w:r>
        <w:rPr>
          <w:i/>
          <w:color w:val="000000"/>
        </w:rPr>
        <w:t>Čerchle</w:t>
      </w:r>
      <w:proofErr w:type="spellEnd"/>
      <w:r>
        <w:rPr>
          <w:i/>
          <w:color w:val="000000"/>
        </w:rPr>
        <w:t xml:space="preserve"> je vyčlenených 250 000 eur. N</w:t>
      </w:r>
      <w:r w:rsidRPr="007B4687">
        <w:rPr>
          <w:i/>
          <w:color w:val="000000"/>
        </w:rPr>
        <w:t>a spolufinancovanie výdavkov na predkladanie žiadosti o NFP na zvýšenie kapacít infraštruktúry materských škôl</w:t>
      </w:r>
      <w:r>
        <w:rPr>
          <w:i/>
          <w:color w:val="000000"/>
        </w:rPr>
        <w:t xml:space="preserve"> je</w:t>
      </w:r>
      <w:r w:rsidRPr="007B4687">
        <w:rPr>
          <w:i/>
          <w:color w:val="000000"/>
        </w:rPr>
        <w:t xml:space="preserve"> </w:t>
      </w:r>
      <w:r>
        <w:rPr>
          <w:i/>
          <w:color w:val="000000"/>
        </w:rPr>
        <w:t>vyčlenených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 </w:t>
      </w:r>
      <w:r>
        <w:rPr>
          <w:rFonts w:ascii="Times New Roman,Bold" w:hAnsi="Times New Roman,Bold" w:cs="Times New Roman,Bold"/>
          <w:bCs/>
          <w:i/>
          <w:color w:val="000000"/>
        </w:rPr>
        <w:t xml:space="preserve">21 059 eur , na 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projekt </w:t>
      </w:r>
      <w:r>
        <w:rPr>
          <w:rFonts w:ascii="Times New Roman,Bold" w:hAnsi="Times New Roman,Bold" w:cs="Times New Roman,Bold"/>
          <w:bCs/>
          <w:i/>
          <w:color w:val="000000"/>
        </w:rPr>
        <w:t>regenerácia vnútro blokov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 sídlisk 15</w:t>
      </w:r>
      <w:r>
        <w:rPr>
          <w:rFonts w:ascii="Times New Roman,Bold" w:hAnsi="Times New Roman,Bold" w:cs="Times New Roman,Bold"/>
          <w:bCs/>
          <w:i/>
          <w:color w:val="000000"/>
        </w:rPr>
        <w:t> 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>000</w:t>
      </w:r>
      <w:r>
        <w:rPr>
          <w:rFonts w:ascii="Times New Roman,Bold" w:hAnsi="Times New Roman,Bold" w:cs="Times New Roman,Bold"/>
          <w:bCs/>
          <w:i/>
          <w:color w:val="000000"/>
        </w:rPr>
        <w:t xml:space="preserve"> 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>eur</w:t>
      </w:r>
      <w:r>
        <w:rPr>
          <w:rFonts w:ascii="Times New Roman,Bold" w:hAnsi="Times New Roman,Bold" w:cs="Times New Roman,Bold"/>
          <w:bCs/>
          <w:i/>
          <w:color w:val="000000"/>
        </w:rPr>
        <w:t xml:space="preserve">. 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Zdroje </w:t>
      </w:r>
      <w:r>
        <w:rPr>
          <w:rFonts w:ascii="Times New Roman,Bold" w:hAnsi="Times New Roman,Bold" w:cs="Times New Roman,Bold"/>
          <w:bCs/>
          <w:i/>
          <w:color w:val="000000"/>
        </w:rPr>
        <w:t>zo štátneho rozpočtu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 sa zohľadnia v príjmoch a vo výdavkoch rozpočtu na rok 2022 po ich odsúhlasení príslušným ministerstvom. </w:t>
      </w:r>
    </w:p>
    <w:p w:rsidR="000F08DB" w:rsidRDefault="000F08DB" w:rsidP="000F08DB">
      <w:pPr>
        <w:jc w:val="both"/>
        <w:rPr>
          <w:i/>
          <w:color w:val="000000"/>
        </w:rPr>
      </w:pPr>
      <w:r>
        <w:rPr>
          <w:rFonts w:ascii="Times New Roman,Bold" w:hAnsi="Times New Roman,Bold" w:cs="Times New Roman,Bold"/>
          <w:bCs/>
          <w:i/>
          <w:color w:val="000000"/>
        </w:rPr>
        <w:t>V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 rozpočte na rok 2022 </w:t>
      </w:r>
      <w:r>
        <w:rPr>
          <w:rFonts w:ascii="Times New Roman,Bold" w:hAnsi="Times New Roman,Bold" w:cs="Times New Roman,Bold"/>
          <w:bCs/>
          <w:i/>
          <w:color w:val="000000"/>
        </w:rPr>
        <w:t xml:space="preserve"> </w:t>
      </w:r>
      <w:r w:rsidRPr="008D03DC">
        <w:rPr>
          <w:i/>
          <w:color w:val="000000"/>
        </w:rPr>
        <w:t xml:space="preserve">na realizáciu vybudovania kanalizácie SO-01 stoka „A“ Príboj je vyčlenených 84 580 eur podľa </w:t>
      </w:r>
      <w:r>
        <w:rPr>
          <w:i/>
          <w:color w:val="000000"/>
        </w:rPr>
        <w:t xml:space="preserve">viacročného rozpočtu na roky 2021-2023. V roku 2022 mesto plánuje realizovať komplexnú rekonštrukciu Námestia P.O. Hviezdoslava vo výške 150 000 eur, na rekonštrukciu vnútro blokov pri bytových domov č. 483,484,485,486,487 </w:t>
      </w:r>
    </w:p>
    <w:p w:rsidR="000F08DB" w:rsidRPr="002D193E" w:rsidRDefault="000F08DB" w:rsidP="000F08DB">
      <w:pPr>
        <w:jc w:val="both"/>
        <w:rPr>
          <w:rFonts w:ascii="Times New Roman,Bold" w:hAnsi="Times New Roman,Bold" w:cs="Times New Roman,Bold"/>
          <w:bCs/>
          <w:i/>
          <w:color w:val="000000"/>
        </w:rPr>
      </w:pPr>
      <w:r>
        <w:rPr>
          <w:i/>
          <w:color w:val="000000"/>
        </w:rPr>
        <w:t>ul. Komenského sa v rozpočte vyčleňuje 80 000 eur.</w:t>
      </w:r>
    </w:p>
    <w:p w:rsidR="000F08DB" w:rsidRDefault="000F08DB" w:rsidP="000F08D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Na vybudovanie </w:t>
      </w:r>
      <w:proofErr w:type="spellStart"/>
      <w:r>
        <w:rPr>
          <w:i/>
          <w:color w:val="000000"/>
        </w:rPr>
        <w:t>mobiliáru</w:t>
      </w:r>
      <w:proofErr w:type="spellEnd"/>
      <w:r>
        <w:rPr>
          <w:i/>
          <w:color w:val="000000"/>
        </w:rPr>
        <w:t xml:space="preserve"> pri multifunkčnom ihrisku v areáli  ZŠ Komenského podľa predloženého projektu CZŠ sv. Gorazda je v rozpočte vyčlenených 6 000 eur. Na rozsiahlu rekonštrukciu podkrovných priestorov ZŠ Slnečná je vyčlenených 475 000 eur.</w:t>
      </w:r>
    </w:p>
    <w:p w:rsidR="00E57D21" w:rsidRDefault="00E57D21" w:rsidP="000F08DB">
      <w:pPr>
        <w:jc w:val="both"/>
        <w:rPr>
          <w:i/>
          <w:color w:val="000000"/>
        </w:rPr>
      </w:pPr>
    </w:p>
    <w:p w:rsidR="000F08DB" w:rsidRPr="008D03DC" w:rsidRDefault="00E57D21" w:rsidP="000F08DB">
      <w:pPr>
        <w:jc w:val="both"/>
        <w:rPr>
          <w:i/>
          <w:color w:val="000000"/>
        </w:rPr>
      </w:pPr>
      <w:r>
        <w:rPr>
          <w:i/>
          <w:color w:val="000000"/>
        </w:rPr>
        <w:t>Investične akcie, ktoré</w:t>
      </w:r>
      <w:r w:rsidRPr="0070626B">
        <w:rPr>
          <w:i/>
          <w:color w:val="000000"/>
        </w:rPr>
        <w:t xml:space="preserve"> </w:t>
      </w:r>
      <w:r>
        <w:rPr>
          <w:i/>
          <w:color w:val="000000"/>
        </w:rPr>
        <w:t>sa presúvajú do rozpočtu na rok 2022 vzhľadom k tomu, že v roku 2021 neboli zrealizované, prípadne dokončené:</w:t>
      </w:r>
    </w:p>
    <w:p w:rsidR="000F08DB" w:rsidRPr="00030A52" w:rsidRDefault="000F08DB" w:rsidP="000F08DB">
      <w:pPr>
        <w:jc w:val="both"/>
        <w:rPr>
          <w:i/>
          <w:color w:val="000000"/>
        </w:rPr>
      </w:pPr>
      <w:r w:rsidRPr="00030A52">
        <w:rPr>
          <w:i/>
          <w:color w:val="000000"/>
        </w:rPr>
        <w:t>Nezrealizovaná  modernizácia umelej trávy v areáli MŠK</w:t>
      </w:r>
      <w:r>
        <w:rPr>
          <w:i/>
          <w:color w:val="000000"/>
        </w:rPr>
        <w:t xml:space="preserve"> vo výške</w:t>
      </w:r>
      <w:r w:rsidRPr="00030A52">
        <w:rPr>
          <w:i/>
          <w:color w:val="000000"/>
        </w:rPr>
        <w:t xml:space="preserve">  280 0</w:t>
      </w:r>
      <w:r>
        <w:rPr>
          <w:i/>
          <w:color w:val="000000"/>
        </w:rPr>
        <w:t>00 eur sa presúva do rozpočtu na rok 2022, na základe neukončeného procesu verejného obstarávania.</w:t>
      </w:r>
    </w:p>
    <w:p w:rsidR="000F08DB" w:rsidRDefault="000F08DB" w:rsidP="000F08D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Nezrealizovaná investícia z roku 2021 vybudovanie ihriska-oddychovej zóny v lokalite </w:t>
      </w:r>
      <w:proofErr w:type="spellStart"/>
      <w:r>
        <w:rPr>
          <w:i/>
          <w:color w:val="000000"/>
        </w:rPr>
        <w:t>Čerchle</w:t>
      </w:r>
      <w:proofErr w:type="spellEnd"/>
      <w:r>
        <w:rPr>
          <w:i/>
          <w:color w:val="000000"/>
        </w:rPr>
        <w:t xml:space="preserve"> sa presúva do rozpočtu na rok 2022 z dôvodu chýbajúceho vyjadrenia SPF.</w:t>
      </w:r>
    </w:p>
    <w:p w:rsidR="000F08DB" w:rsidRDefault="000F08DB" w:rsidP="000F08D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Nezrealizovaná prípravná projektová dokumentácia na verejné osvetlenie </w:t>
      </w:r>
      <w:proofErr w:type="spellStart"/>
      <w:r>
        <w:rPr>
          <w:i/>
          <w:color w:val="000000"/>
        </w:rPr>
        <w:t>Slanická</w:t>
      </w:r>
      <w:proofErr w:type="spellEnd"/>
      <w:r>
        <w:rPr>
          <w:i/>
          <w:color w:val="000000"/>
        </w:rPr>
        <w:t xml:space="preserve"> osada vo výške 10 000 eur a prípravná projektová dokumentácia Domu kultúry vo výške 15 000 eur sa presúva do rozpočtu na rok 2022.</w:t>
      </w:r>
      <w:r w:rsidR="00E57D21">
        <w:rPr>
          <w:i/>
          <w:color w:val="000000"/>
        </w:rPr>
        <w:t xml:space="preserve"> </w:t>
      </w:r>
      <w:r>
        <w:rPr>
          <w:i/>
          <w:color w:val="000000"/>
        </w:rPr>
        <w:t xml:space="preserve">Nezrealizovaný </w:t>
      </w:r>
      <w:proofErr w:type="spellStart"/>
      <w:r>
        <w:rPr>
          <w:i/>
          <w:color w:val="000000"/>
        </w:rPr>
        <w:t>Generel</w:t>
      </w:r>
      <w:proofErr w:type="spellEnd"/>
      <w:r>
        <w:rPr>
          <w:i/>
          <w:color w:val="000000"/>
        </w:rPr>
        <w:t xml:space="preserve"> zelene v roku 2021 sa presúva do rozpočtu na rok 2022 vo výške 25 000 eur.</w:t>
      </w:r>
    </w:p>
    <w:p w:rsidR="000F08DB" w:rsidRDefault="000F08DB" w:rsidP="000F08DB">
      <w:pPr>
        <w:jc w:val="both"/>
        <w:rPr>
          <w:i/>
          <w:color w:val="000000"/>
        </w:rPr>
      </w:pPr>
      <w:r>
        <w:rPr>
          <w:i/>
          <w:color w:val="000000"/>
        </w:rPr>
        <w:t>Nezrealizovaná prípravná projektová dokumentácia prepojenia ul. Ľudovíta Štúra so Saleziánmi v roku 2021 vo výške 8 000 eur sa presúva do roku 2022.</w:t>
      </w:r>
    </w:p>
    <w:p w:rsidR="000F08DB" w:rsidRDefault="000F08DB" w:rsidP="000F08DB">
      <w:pPr>
        <w:jc w:val="both"/>
        <w:rPr>
          <w:rFonts w:ascii="Times New Roman,Bold" w:hAnsi="Times New Roman,Bold" w:cs="Times New Roman,Bold"/>
          <w:bCs/>
          <w:i/>
          <w:color w:val="FF0000"/>
        </w:rPr>
      </w:pPr>
      <w:r>
        <w:rPr>
          <w:i/>
          <w:color w:val="000000"/>
        </w:rPr>
        <w:t>Do rozpočtu na rok 2022 sa presúva aj prípravná a projektová dokumentácia výstavby športovej haly spolu s jej I. etapou realizácie vo výške 460 000 eur.</w:t>
      </w:r>
    </w:p>
    <w:p w:rsidR="000F08DB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  <w:color w:val="FF0000"/>
        </w:rPr>
      </w:pPr>
    </w:p>
    <w:p w:rsidR="000F08DB" w:rsidRDefault="000F08DB" w:rsidP="000F08DB">
      <w:pPr>
        <w:autoSpaceDE w:val="0"/>
        <w:autoSpaceDN w:val="0"/>
        <w:adjustRightInd w:val="0"/>
        <w:jc w:val="both"/>
        <w:rPr>
          <w:i/>
        </w:rPr>
      </w:pPr>
      <w:r w:rsidRPr="001C6698">
        <w:rPr>
          <w:rFonts w:ascii="Times New Roman,Bold" w:hAnsi="Times New Roman,Bold" w:cs="Times New Roman,Bold"/>
          <w:bCs/>
          <w:i/>
        </w:rPr>
        <w:t>Mesto, vzhľadom k tomu, že nebolo schválené navýšenie poplatku za komunálny odpad v bežnom rozpočte  tvorí rezervu 200 000eur na vykrytie nákladov spojených so zberom a zneškodnením komunálneho odpadu v</w:t>
      </w:r>
      <w:r w:rsidRPr="001C6698">
        <w:rPr>
          <w:i/>
        </w:rPr>
        <w:t> súvislosti s ukončením činnosti prevádzkovania skládky odpadov v</w:t>
      </w:r>
      <w:r>
        <w:rPr>
          <w:i/>
        </w:rPr>
        <w:t> </w:t>
      </w:r>
      <w:r w:rsidRPr="001C6698">
        <w:rPr>
          <w:i/>
        </w:rPr>
        <w:t>Zubrohlave</w:t>
      </w:r>
      <w:r>
        <w:rPr>
          <w:i/>
        </w:rPr>
        <w:t xml:space="preserve"> a 100 000 eur na originálne kompetencie.</w:t>
      </w:r>
    </w:p>
    <w:p w:rsidR="000F08DB" w:rsidRPr="001C6698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</w:rPr>
      </w:pPr>
    </w:p>
    <w:p w:rsidR="000F08DB" w:rsidRDefault="000F08DB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  <w:color w:val="000000"/>
        </w:rPr>
      </w:pP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V roku 2022 je splatný úver </w:t>
      </w:r>
      <w:r>
        <w:rPr>
          <w:rFonts w:ascii="Times New Roman,Bold" w:hAnsi="Times New Roman,Bold" w:cs="Times New Roman,Bold"/>
          <w:bCs/>
          <w:i/>
          <w:color w:val="000000"/>
        </w:rPr>
        <w:t xml:space="preserve"> na výstavbu nájomných bytov zo</w:t>
      </w:r>
      <w:r w:rsidRPr="002D193E">
        <w:rPr>
          <w:rFonts w:ascii="Times New Roman,Bold" w:hAnsi="Times New Roman,Bold" w:cs="Times New Roman,Bold"/>
          <w:bCs/>
          <w:i/>
          <w:color w:val="000000"/>
        </w:rPr>
        <w:t xml:space="preserve"> ŠFRB</w:t>
      </w:r>
      <w:r>
        <w:rPr>
          <w:rFonts w:ascii="Times New Roman,Bold" w:hAnsi="Times New Roman,Bold" w:cs="Times New Roman,Bold"/>
          <w:bCs/>
          <w:i/>
          <w:color w:val="000000"/>
        </w:rPr>
        <w:t xml:space="preserve"> poskytnutý vo výške 181 769,90 eur.</w:t>
      </w:r>
    </w:p>
    <w:p w:rsidR="00E57D21" w:rsidRPr="002D193E" w:rsidRDefault="00E57D21" w:rsidP="000F08DB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  <w:i/>
          <w:color w:val="000000"/>
        </w:rPr>
      </w:pPr>
    </w:p>
    <w:p w:rsidR="00146E1F" w:rsidRDefault="000F08DB">
      <w:r>
        <w:t>Spracovala: Mgr. Katarína Rusinová</w:t>
      </w:r>
    </w:p>
    <w:p w:rsidR="003A591B" w:rsidRDefault="003A591B">
      <w:r>
        <w:t>Poznámka: Tabuľková časť bola upravená na základe zverejneného návrhu rozpočtu.</w:t>
      </w:r>
      <w:bookmarkStart w:id="0" w:name="_GoBack"/>
      <w:bookmarkEnd w:id="0"/>
    </w:p>
    <w:p w:rsidR="003A591B" w:rsidRDefault="003A591B"/>
    <w:sectPr w:rsidR="003A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62B3"/>
    <w:multiLevelType w:val="hybridMultilevel"/>
    <w:tmpl w:val="39AE4F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F1"/>
    <w:rsid w:val="000F08DB"/>
    <w:rsid w:val="00135FF1"/>
    <w:rsid w:val="00146E1F"/>
    <w:rsid w:val="002F7BB8"/>
    <w:rsid w:val="003A591B"/>
    <w:rsid w:val="006F7067"/>
    <w:rsid w:val="008F1185"/>
    <w:rsid w:val="00C95328"/>
    <w:rsid w:val="00D65ACE"/>
    <w:rsid w:val="00E57D21"/>
    <w:rsid w:val="00F9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6AE1A-3B75-4E6B-9073-9E2C47E4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0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F08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52D5-705C-440E-A533-54319C30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RUSINOVÁ Katarína</cp:lastModifiedBy>
  <cp:revision>8</cp:revision>
  <dcterms:created xsi:type="dcterms:W3CDTF">2021-11-17T00:39:00Z</dcterms:created>
  <dcterms:modified xsi:type="dcterms:W3CDTF">2021-11-29T21:28:00Z</dcterms:modified>
</cp:coreProperties>
</file>